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94CCC" w14:textId="5A881D6E" w:rsidR="008C0E92" w:rsidRPr="004D093B" w:rsidRDefault="008C0E92" w:rsidP="008C0E92">
      <w:pPr>
        <w:jc w:val="right"/>
        <w:rPr>
          <w:rFonts w:ascii="Lato" w:hAnsi="Lato"/>
          <w:b/>
          <w:bCs/>
          <w:color w:val="00B0F0"/>
          <w:sz w:val="28"/>
          <w:szCs w:val="28"/>
        </w:rPr>
      </w:pPr>
    </w:p>
    <w:p w14:paraId="2E434D60" w14:textId="0DF86DAD" w:rsidR="00202697" w:rsidRDefault="00202697" w:rsidP="00202697">
      <w:pPr>
        <w:jc w:val="center"/>
        <w:rPr>
          <w:rFonts w:ascii="Lato" w:hAnsi="Lato"/>
          <w:b/>
          <w:bCs/>
          <w:color w:val="00B0F0"/>
          <w:sz w:val="36"/>
          <w:szCs w:val="36"/>
          <w:u w:val="single"/>
        </w:rPr>
      </w:pPr>
      <w:r>
        <w:rPr>
          <w:rFonts w:ascii="Lato" w:hAnsi="Lato"/>
          <w:b/>
          <w:bCs/>
          <w:color w:val="00B0F0"/>
          <w:sz w:val="36"/>
          <w:szCs w:val="36"/>
          <w:u w:val="single"/>
        </w:rPr>
        <w:t>PROJEKT OBWIESZCZENIA REFUNDACYJNEGO NR 7</w:t>
      </w:r>
      <w:r w:rsidR="00FA0EA2">
        <w:rPr>
          <w:rFonts w:ascii="Lato" w:hAnsi="Lato"/>
          <w:b/>
          <w:bCs/>
          <w:color w:val="00B0F0"/>
          <w:sz w:val="36"/>
          <w:szCs w:val="36"/>
          <w:u w:val="single"/>
        </w:rPr>
        <w:t>6</w:t>
      </w:r>
      <w:r>
        <w:rPr>
          <w:rFonts w:ascii="Lato" w:hAnsi="Lato"/>
          <w:b/>
          <w:bCs/>
          <w:color w:val="00B0F0"/>
          <w:sz w:val="36"/>
          <w:szCs w:val="36"/>
          <w:u w:val="single"/>
        </w:rPr>
        <w:t xml:space="preserve"> (1 </w:t>
      </w:r>
      <w:r w:rsidR="00FA0EA2">
        <w:rPr>
          <w:rFonts w:ascii="Lato" w:hAnsi="Lato"/>
          <w:b/>
          <w:bCs/>
          <w:color w:val="00B0F0"/>
          <w:sz w:val="36"/>
          <w:szCs w:val="36"/>
          <w:u w:val="single"/>
        </w:rPr>
        <w:t>PAŹDZIERNIKA</w:t>
      </w:r>
      <w:r>
        <w:rPr>
          <w:rFonts w:ascii="Lato" w:hAnsi="Lato"/>
          <w:b/>
          <w:bCs/>
          <w:color w:val="00B0F0"/>
          <w:sz w:val="36"/>
          <w:szCs w:val="36"/>
          <w:u w:val="single"/>
        </w:rPr>
        <w:t xml:space="preserve"> 2024 r.)</w:t>
      </w:r>
    </w:p>
    <w:p w14:paraId="66FC1558" w14:textId="61FA521E" w:rsidR="00202697" w:rsidRDefault="00202697" w:rsidP="00202697">
      <w:pPr>
        <w:spacing w:before="240" w:after="120" w:line="360" w:lineRule="auto"/>
        <w:jc w:val="both"/>
        <w:rPr>
          <w:rFonts w:ascii="Lato" w:hAnsi="Lato"/>
        </w:rPr>
      </w:pPr>
      <w:r>
        <w:rPr>
          <w:rFonts w:ascii="Lato" w:hAnsi="Lato"/>
        </w:rPr>
        <w:t>Prezentowane podsumowanie projektu obwieszczenia refundacyjnego nr 7</w:t>
      </w:r>
      <w:r w:rsidR="00FA0EA2">
        <w:rPr>
          <w:rFonts w:ascii="Lato" w:hAnsi="Lato"/>
        </w:rPr>
        <w:t>6</w:t>
      </w:r>
      <w:r>
        <w:rPr>
          <w:rFonts w:ascii="Lato" w:hAnsi="Lato"/>
        </w:rPr>
        <w:t xml:space="preserve"> </w:t>
      </w:r>
      <w:r>
        <w:rPr>
          <w:rFonts w:ascii="Lato" w:hAnsi="Lato"/>
          <w:b/>
          <w:bCs/>
        </w:rPr>
        <w:t>nie stanowi jego ostatecznej wersji</w:t>
      </w:r>
      <w:r>
        <w:rPr>
          <w:rFonts w:ascii="Lato" w:hAnsi="Lato"/>
        </w:rPr>
        <w:t xml:space="preserve">, bowiem nadal trwają prace administracyjne nad </w:t>
      </w:r>
      <w:proofErr w:type="gramStart"/>
      <w:r>
        <w:rPr>
          <w:rFonts w:ascii="Lato" w:hAnsi="Lato"/>
        </w:rPr>
        <w:t>finalnym</w:t>
      </w:r>
      <w:proofErr w:type="gramEnd"/>
      <w:r>
        <w:rPr>
          <w:rFonts w:ascii="Lato" w:hAnsi="Lato"/>
        </w:rPr>
        <w:t xml:space="preserve"> wykazem refundowanych leków, środków spożywczych specjalnego przeznaczenia żywieniowego oraz wyrobów medycznych obowiązującym od 1 </w:t>
      </w:r>
      <w:r w:rsidR="00FA0EA2">
        <w:rPr>
          <w:rFonts w:ascii="Lato" w:hAnsi="Lato"/>
        </w:rPr>
        <w:t>października</w:t>
      </w:r>
      <w:r>
        <w:rPr>
          <w:rFonts w:ascii="Lato" w:hAnsi="Lato"/>
        </w:rPr>
        <w:t xml:space="preserve"> 2024 r. </w:t>
      </w:r>
    </w:p>
    <w:p w14:paraId="6FCBB705" w14:textId="41298CFD" w:rsidR="00202697" w:rsidRPr="00111FD4" w:rsidRDefault="00202697" w:rsidP="00202697">
      <w:pPr>
        <w:spacing w:after="120" w:line="360" w:lineRule="auto"/>
        <w:jc w:val="both"/>
        <w:rPr>
          <w:rFonts w:ascii="Lato" w:hAnsi="Lato"/>
        </w:rPr>
      </w:pPr>
      <w:r w:rsidRPr="00A053B9">
        <w:rPr>
          <w:rFonts w:ascii="Lato" w:hAnsi="Lato"/>
        </w:rPr>
        <w:t xml:space="preserve">Uwzględniając niniejszy projekt, w </w:t>
      </w:r>
      <w:r w:rsidR="00111FD4">
        <w:rPr>
          <w:rFonts w:ascii="Lato" w:hAnsi="Lato"/>
        </w:rPr>
        <w:t>czwartym</w:t>
      </w:r>
      <w:r w:rsidRPr="00A053B9">
        <w:rPr>
          <w:rFonts w:ascii="Lato" w:hAnsi="Lato"/>
        </w:rPr>
        <w:t xml:space="preserve"> wykazie w roku 2024, finansowaniem ze środków publicznych </w:t>
      </w:r>
      <w:r w:rsidRPr="00111FD4">
        <w:rPr>
          <w:rFonts w:ascii="Lato" w:hAnsi="Lato"/>
        </w:rPr>
        <w:t>zostan</w:t>
      </w:r>
      <w:r w:rsidR="00111FD4" w:rsidRPr="00111FD4">
        <w:rPr>
          <w:rFonts w:ascii="Lato" w:hAnsi="Lato"/>
        </w:rPr>
        <w:t>ą</w:t>
      </w:r>
      <w:r w:rsidRPr="00111FD4">
        <w:rPr>
          <w:rFonts w:ascii="Lato" w:hAnsi="Lato"/>
        </w:rPr>
        <w:t xml:space="preserve"> objęt</w:t>
      </w:r>
      <w:r w:rsidR="00111FD4" w:rsidRPr="00111FD4">
        <w:rPr>
          <w:rFonts w:ascii="Lato" w:hAnsi="Lato"/>
        </w:rPr>
        <w:t>e</w:t>
      </w:r>
      <w:r w:rsidRPr="00111FD4">
        <w:rPr>
          <w:rFonts w:ascii="Lato" w:hAnsi="Lato"/>
        </w:rPr>
        <w:t xml:space="preserve"> </w:t>
      </w:r>
      <w:r w:rsidR="00111FD4" w:rsidRPr="00111FD4">
        <w:rPr>
          <w:rFonts w:ascii="Lato" w:hAnsi="Lato"/>
          <w:b/>
          <w:bCs/>
        </w:rPr>
        <w:t>52</w:t>
      </w:r>
      <w:r w:rsidRPr="00111FD4">
        <w:rPr>
          <w:rFonts w:ascii="Lato" w:hAnsi="Lato"/>
          <w:b/>
          <w:bCs/>
        </w:rPr>
        <w:t xml:space="preserve"> now</w:t>
      </w:r>
      <w:r w:rsidR="00111FD4" w:rsidRPr="00111FD4">
        <w:rPr>
          <w:rFonts w:ascii="Lato" w:hAnsi="Lato"/>
          <w:b/>
          <w:bCs/>
        </w:rPr>
        <w:t>e</w:t>
      </w:r>
      <w:r w:rsidRPr="00111FD4">
        <w:rPr>
          <w:rFonts w:ascii="Lato" w:hAnsi="Lato"/>
          <w:b/>
          <w:bCs/>
        </w:rPr>
        <w:t xml:space="preserve"> cząsteczko – wskaza</w:t>
      </w:r>
      <w:r w:rsidR="00111FD4" w:rsidRPr="00111FD4">
        <w:rPr>
          <w:rFonts w:ascii="Lato" w:hAnsi="Lato"/>
          <w:b/>
          <w:bCs/>
        </w:rPr>
        <w:t>nia</w:t>
      </w:r>
      <w:r w:rsidRPr="00111FD4">
        <w:rPr>
          <w:rFonts w:ascii="Lato" w:hAnsi="Lato"/>
        </w:rPr>
        <w:t>, w tym:</w:t>
      </w:r>
    </w:p>
    <w:p w14:paraId="753923CA" w14:textId="703E365F" w:rsidR="00202697" w:rsidRPr="00111FD4" w:rsidRDefault="00111FD4" w:rsidP="00202697">
      <w:pPr>
        <w:pStyle w:val="Akapitzlist"/>
        <w:numPr>
          <w:ilvl w:val="0"/>
          <w:numId w:val="27"/>
        </w:numPr>
        <w:spacing w:after="120" w:line="360" w:lineRule="auto"/>
        <w:jc w:val="both"/>
        <w:textAlignment w:val="auto"/>
        <w:rPr>
          <w:rFonts w:ascii="Lato" w:hAnsi="Lato"/>
        </w:rPr>
      </w:pPr>
      <w:r w:rsidRPr="00111FD4">
        <w:rPr>
          <w:rFonts w:ascii="Lato" w:hAnsi="Lato"/>
        </w:rPr>
        <w:t>13</w:t>
      </w:r>
      <w:r w:rsidR="00202697" w:rsidRPr="00111FD4">
        <w:rPr>
          <w:rFonts w:ascii="Lato" w:hAnsi="Lato"/>
        </w:rPr>
        <w:t xml:space="preserve"> cząsteczko – wskazań onkologicznych,</w:t>
      </w:r>
    </w:p>
    <w:p w14:paraId="2C1EE8A8" w14:textId="7E8FFA8A" w:rsidR="00202697" w:rsidRPr="00111FD4" w:rsidRDefault="00111FD4" w:rsidP="00202697">
      <w:pPr>
        <w:pStyle w:val="Akapitzlist"/>
        <w:numPr>
          <w:ilvl w:val="0"/>
          <w:numId w:val="27"/>
        </w:numPr>
        <w:spacing w:after="120" w:line="360" w:lineRule="auto"/>
        <w:jc w:val="both"/>
        <w:textAlignment w:val="auto"/>
        <w:rPr>
          <w:rFonts w:ascii="Lato" w:hAnsi="Lato"/>
        </w:rPr>
      </w:pPr>
      <w:r w:rsidRPr="00111FD4">
        <w:rPr>
          <w:rFonts w:ascii="Lato" w:hAnsi="Lato"/>
        </w:rPr>
        <w:t>39</w:t>
      </w:r>
      <w:r w:rsidR="00202697" w:rsidRPr="00111FD4">
        <w:rPr>
          <w:rFonts w:ascii="Lato" w:hAnsi="Lato"/>
        </w:rPr>
        <w:t xml:space="preserve"> cząsteczko - wskaza</w:t>
      </w:r>
      <w:r w:rsidRPr="00111FD4">
        <w:rPr>
          <w:rFonts w:ascii="Lato" w:hAnsi="Lato"/>
        </w:rPr>
        <w:t>ń</w:t>
      </w:r>
      <w:r w:rsidR="00202697" w:rsidRPr="00111FD4">
        <w:rPr>
          <w:rFonts w:ascii="Lato" w:hAnsi="Lato"/>
        </w:rPr>
        <w:t xml:space="preserve"> nieonkologiczn</w:t>
      </w:r>
      <w:r w:rsidRPr="00111FD4">
        <w:rPr>
          <w:rFonts w:ascii="Lato" w:hAnsi="Lato"/>
        </w:rPr>
        <w:t>ych</w:t>
      </w:r>
      <w:r w:rsidR="00202697" w:rsidRPr="00111FD4">
        <w:rPr>
          <w:rFonts w:ascii="Lato" w:hAnsi="Lato"/>
        </w:rPr>
        <w:t>,</w:t>
      </w:r>
    </w:p>
    <w:p w14:paraId="38D03AA4" w14:textId="55C09B29" w:rsidR="00202697" w:rsidRPr="00111FD4" w:rsidRDefault="00111FD4" w:rsidP="00202697">
      <w:pPr>
        <w:pStyle w:val="Akapitzlist"/>
        <w:numPr>
          <w:ilvl w:val="0"/>
          <w:numId w:val="27"/>
        </w:numPr>
        <w:spacing w:after="120" w:line="360" w:lineRule="auto"/>
        <w:jc w:val="both"/>
        <w:textAlignment w:val="auto"/>
        <w:rPr>
          <w:rFonts w:ascii="Lato" w:hAnsi="Lato"/>
        </w:rPr>
      </w:pPr>
      <w:r w:rsidRPr="00111FD4">
        <w:rPr>
          <w:rFonts w:ascii="Lato" w:hAnsi="Lato"/>
        </w:rPr>
        <w:t>12</w:t>
      </w:r>
      <w:r w:rsidR="00202697" w:rsidRPr="00111FD4">
        <w:rPr>
          <w:rFonts w:ascii="Lato" w:hAnsi="Lato"/>
        </w:rPr>
        <w:t xml:space="preserve"> cząsteczko - wskazań dedykowanych chorobom rzadkim.</w:t>
      </w:r>
    </w:p>
    <w:p w14:paraId="2766759A" w14:textId="55F1491D" w:rsidR="00202697" w:rsidRPr="00111FD4" w:rsidRDefault="00202697" w:rsidP="00202697">
      <w:pPr>
        <w:autoSpaceDE w:val="0"/>
        <w:spacing w:after="0" w:line="360" w:lineRule="auto"/>
        <w:jc w:val="both"/>
        <w:rPr>
          <w:rFonts w:ascii="Lato" w:hAnsi="Lato" w:cs="Arial"/>
        </w:rPr>
      </w:pPr>
      <w:r w:rsidRPr="00111FD4">
        <w:rPr>
          <w:rFonts w:ascii="Lato" w:hAnsi="Lato" w:cs="Arial"/>
        </w:rPr>
        <w:t xml:space="preserve">Najwięcej nowych cząsteczko - wskazań onkologicznych w 2024 r. obserwujemy w </w:t>
      </w:r>
      <w:proofErr w:type="spellStart"/>
      <w:r w:rsidRPr="00111FD4">
        <w:rPr>
          <w:rFonts w:ascii="Lato" w:hAnsi="Lato" w:cs="Arial"/>
        </w:rPr>
        <w:t>hematoonkologii</w:t>
      </w:r>
      <w:proofErr w:type="spellEnd"/>
      <w:r w:rsidRPr="00111FD4">
        <w:rPr>
          <w:rFonts w:ascii="Lato" w:hAnsi="Lato" w:cs="Arial"/>
        </w:rPr>
        <w:t xml:space="preserve"> (</w:t>
      </w:r>
      <w:r w:rsidR="00111FD4" w:rsidRPr="00111FD4">
        <w:rPr>
          <w:rFonts w:ascii="Lato" w:hAnsi="Lato" w:cs="Arial"/>
        </w:rPr>
        <w:t>1</w:t>
      </w:r>
      <w:r w:rsidR="009C593F">
        <w:rPr>
          <w:rFonts w:ascii="Lato" w:hAnsi="Lato" w:cs="Arial"/>
        </w:rPr>
        <w:t>5</w:t>
      </w:r>
      <w:r w:rsidRPr="00111FD4">
        <w:rPr>
          <w:rFonts w:ascii="Lato" w:hAnsi="Lato" w:cs="Arial"/>
        </w:rPr>
        <w:t xml:space="preserve">), w nowotworach </w:t>
      </w:r>
      <w:r w:rsidR="00516499" w:rsidRPr="00111FD4">
        <w:rPr>
          <w:rFonts w:ascii="Lato" w:hAnsi="Lato" w:cs="Arial"/>
        </w:rPr>
        <w:t>ginekologicznych</w:t>
      </w:r>
      <w:r w:rsidRPr="00111FD4">
        <w:rPr>
          <w:rFonts w:ascii="Lato" w:hAnsi="Lato" w:cs="Arial"/>
        </w:rPr>
        <w:t xml:space="preserve"> (</w:t>
      </w:r>
      <w:r w:rsidR="00111FD4" w:rsidRPr="00111FD4">
        <w:rPr>
          <w:rFonts w:ascii="Lato" w:hAnsi="Lato" w:cs="Arial"/>
        </w:rPr>
        <w:t>6</w:t>
      </w:r>
      <w:r w:rsidRPr="00111FD4">
        <w:rPr>
          <w:rFonts w:ascii="Lato" w:hAnsi="Lato" w:cs="Arial"/>
        </w:rPr>
        <w:t xml:space="preserve">) oraz nowotworach układu </w:t>
      </w:r>
      <w:r w:rsidR="00111FD4" w:rsidRPr="00111FD4">
        <w:rPr>
          <w:rFonts w:ascii="Lato" w:hAnsi="Lato" w:cs="Arial"/>
        </w:rPr>
        <w:t>urologicznego</w:t>
      </w:r>
      <w:r w:rsidRPr="00111FD4">
        <w:rPr>
          <w:rFonts w:ascii="Lato" w:hAnsi="Lato" w:cs="Arial"/>
        </w:rPr>
        <w:t xml:space="preserve"> (</w:t>
      </w:r>
      <w:r w:rsidR="00111FD4" w:rsidRPr="00111FD4">
        <w:rPr>
          <w:rFonts w:ascii="Lato" w:hAnsi="Lato" w:cs="Arial"/>
        </w:rPr>
        <w:t>5</w:t>
      </w:r>
      <w:r w:rsidRPr="00111FD4">
        <w:rPr>
          <w:rFonts w:ascii="Lato" w:hAnsi="Lato" w:cs="Arial"/>
        </w:rPr>
        <w:t xml:space="preserve">). </w:t>
      </w:r>
    </w:p>
    <w:p w14:paraId="20BA6E7D" w14:textId="5929D141" w:rsidR="00202697" w:rsidRDefault="00202697" w:rsidP="00202697">
      <w:pPr>
        <w:autoSpaceDE w:val="0"/>
        <w:spacing w:after="0" w:line="360" w:lineRule="auto"/>
        <w:jc w:val="both"/>
        <w:rPr>
          <w:rFonts w:ascii="Lato" w:hAnsi="Lato" w:cs="Arial"/>
        </w:rPr>
      </w:pPr>
      <w:r w:rsidRPr="00111FD4">
        <w:rPr>
          <w:rFonts w:ascii="Lato" w:hAnsi="Lato" w:cs="Arial"/>
        </w:rPr>
        <w:t xml:space="preserve">Najwięcej nowych cząsteczko - wskazań nieonkologicznych w 2024 r. obserwujemy w </w:t>
      </w:r>
      <w:r w:rsidR="00111FD4" w:rsidRPr="00111FD4">
        <w:rPr>
          <w:rFonts w:ascii="Lato" w:hAnsi="Lato" w:cs="Arial"/>
        </w:rPr>
        <w:t>psychiatrii</w:t>
      </w:r>
      <w:r w:rsidRPr="00111FD4">
        <w:rPr>
          <w:rFonts w:ascii="Lato" w:hAnsi="Lato" w:cs="Arial"/>
        </w:rPr>
        <w:t xml:space="preserve"> (</w:t>
      </w:r>
      <w:r w:rsidR="00111FD4" w:rsidRPr="00111FD4">
        <w:rPr>
          <w:rFonts w:ascii="Lato" w:hAnsi="Lato" w:cs="Arial"/>
        </w:rPr>
        <w:t>19</w:t>
      </w:r>
      <w:r w:rsidRPr="00111FD4">
        <w:rPr>
          <w:rFonts w:ascii="Lato" w:hAnsi="Lato" w:cs="Arial"/>
        </w:rPr>
        <w:t xml:space="preserve">), </w:t>
      </w:r>
      <w:r w:rsidR="00111FD4" w:rsidRPr="00111FD4">
        <w:rPr>
          <w:rFonts w:ascii="Lato" w:hAnsi="Lato" w:cs="Arial"/>
        </w:rPr>
        <w:t>neurologii</w:t>
      </w:r>
      <w:r w:rsidR="00516499" w:rsidRPr="00111FD4">
        <w:rPr>
          <w:rFonts w:ascii="Lato" w:hAnsi="Lato" w:cs="Arial"/>
        </w:rPr>
        <w:t xml:space="preserve"> (</w:t>
      </w:r>
      <w:r w:rsidR="00111FD4" w:rsidRPr="00111FD4">
        <w:rPr>
          <w:rFonts w:ascii="Lato" w:hAnsi="Lato" w:cs="Arial"/>
        </w:rPr>
        <w:t>17</w:t>
      </w:r>
      <w:r w:rsidR="00516499" w:rsidRPr="00111FD4">
        <w:rPr>
          <w:rFonts w:ascii="Lato" w:hAnsi="Lato" w:cs="Arial"/>
        </w:rPr>
        <w:t xml:space="preserve">) oraz </w:t>
      </w:r>
      <w:r w:rsidR="00111FD4" w:rsidRPr="00111FD4">
        <w:rPr>
          <w:rFonts w:ascii="Lato" w:hAnsi="Lato" w:cs="Arial"/>
        </w:rPr>
        <w:t>ginekologii</w:t>
      </w:r>
      <w:r w:rsidRPr="00111FD4">
        <w:rPr>
          <w:rFonts w:ascii="Lato" w:hAnsi="Lato" w:cs="Arial"/>
        </w:rPr>
        <w:t xml:space="preserve"> (</w:t>
      </w:r>
      <w:r w:rsidR="00111FD4" w:rsidRPr="00111FD4">
        <w:rPr>
          <w:rFonts w:ascii="Lato" w:hAnsi="Lato" w:cs="Arial"/>
        </w:rPr>
        <w:t>11</w:t>
      </w:r>
      <w:r w:rsidRPr="00111FD4">
        <w:rPr>
          <w:rFonts w:ascii="Lato" w:hAnsi="Lato" w:cs="Arial"/>
        </w:rPr>
        <w:t>)</w:t>
      </w:r>
      <w:r w:rsidR="00516499" w:rsidRPr="00111FD4">
        <w:rPr>
          <w:rFonts w:ascii="Lato" w:hAnsi="Lato" w:cs="Arial"/>
        </w:rPr>
        <w:t>.</w:t>
      </w:r>
    </w:p>
    <w:p w14:paraId="6B466A0C" w14:textId="77777777" w:rsidR="004D093B" w:rsidRDefault="004D093B">
      <w:pPr>
        <w:suppressAutoHyphens w:val="0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br w:type="page"/>
      </w:r>
    </w:p>
    <w:p w14:paraId="4629DA16" w14:textId="5E217471" w:rsidR="00111FD4" w:rsidRPr="00120C1F" w:rsidRDefault="00111FD4">
      <w:pPr>
        <w:suppressAutoHyphens w:val="0"/>
        <w:rPr>
          <w:rFonts w:ascii="Lato" w:hAnsi="Lato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96CEA2C" wp14:editId="75913169">
            <wp:extent cx="4425950" cy="2830830"/>
            <wp:effectExtent l="0" t="0" r="12700" b="7620"/>
            <wp:docPr id="766618933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FC6074ED-C953-414E-8657-6D9838D8DB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C0285F">
        <w:rPr>
          <w:rFonts w:ascii="Lato" w:hAnsi="Lato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45EA6F4F" wp14:editId="7E2EC9FC">
            <wp:extent cx="4413250" cy="2832100"/>
            <wp:effectExtent l="0" t="0" r="6350" b="6350"/>
            <wp:docPr id="1933054922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F3EEC769-7086-49DE-8BAD-8CC35BDC184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8E7C447" w14:textId="04958A35" w:rsidR="00127452" w:rsidRPr="00120C1F" w:rsidRDefault="00111FD4">
      <w:pPr>
        <w:suppressAutoHyphens w:val="0"/>
        <w:rPr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27AEA74F" wp14:editId="1CD29CFD">
            <wp:extent cx="4419600" cy="2800350"/>
            <wp:effectExtent l="0" t="0" r="0" b="0"/>
            <wp:docPr id="2069516848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EA79078D-806F-4958-9948-92A3449EF9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4B75B200" wp14:editId="07379462">
            <wp:extent cx="4436348" cy="2800350"/>
            <wp:effectExtent l="0" t="0" r="2540" b="0"/>
            <wp:docPr id="1237954113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8E0023C9-8891-4322-B9CF-5D2C6FA2550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6A06678" w14:textId="6B7EEC54" w:rsidR="00AD08C5" w:rsidRPr="004D093B" w:rsidRDefault="00127452" w:rsidP="00127452">
      <w:pPr>
        <w:suppressAutoHyphens w:val="0"/>
        <w:rPr>
          <w:rFonts w:ascii="Lato" w:hAnsi="Lato"/>
          <w:b/>
          <w:bCs/>
          <w:color w:val="00B0F0"/>
          <w:sz w:val="28"/>
          <w:szCs w:val="28"/>
        </w:rPr>
      </w:pPr>
      <w:r>
        <w:rPr>
          <w:noProof/>
        </w:rPr>
        <w:br w:type="page"/>
      </w:r>
      <w:r w:rsidR="006A7DCE" w:rsidRPr="004D093B">
        <w:rPr>
          <w:rFonts w:ascii="Lato" w:hAnsi="Lato"/>
          <w:b/>
          <w:bCs/>
          <w:color w:val="00B0F0"/>
          <w:sz w:val="28"/>
          <w:szCs w:val="28"/>
        </w:rPr>
        <w:lastRenderedPageBreak/>
        <w:t>NOWE WSKAZANIA ORAZ ZMIANY W PROGRA</w:t>
      </w:r>
      <w:bookmarkStart w:id="0" w:name="_Hlk95686308"/>
      <w:r w:rsidR="006A7DCE" w:rsidRPr="004D093B">
        <w:rPr>
          <w:rFonts w:ascii="Lato" w:hAnsi="Lato"/>
          <w:b/>
          <w:bCs/>
          <w:color w:val="00B0F0"/>
          <w:sz w:val="28"/>
          <w:szCs w:val="28"/>
        </w:rPr>
        <w:t>M</w:t>
      </w:r>
      <w:bookmarkEnd w:id="0"/>
      <w:r w:rsidR="006A7DCE" w:rsidRPr="004D093B">
        <w:rPr>
          <w:rFonts w:ascii="Lato" w:hAnsi="Lato"/>
          <w:b/>
          <w:bCs/>
          <w:color w:val="00B0F0"/>
          <w:sz w:val="28"/>
          <w:szCs w:val="28"/>
        </w:rPr>
        <w:t>ACH LEKOWYCH</w:t>
      </w:r>
      <w:r w:rsidR="0056748F" w:rsidRPr="004D093B">
        <w:rPr>
          <w:rFonts w:ascii="Lato" w:hAnsi="Lato"/>
          <w:b/>
          <w:bCs/>
          <w:color w:val="00B0F0"/>
          <w:sz w:val="28"/>
          <w:szCs w:val="28"/>
        </w:rPr>
        <w:t xml:space="preserve"> i CHEMIOTERAPII</w:t>
      </w:r>
    </w:p>
    <w:tbl>
      <w:tblPr>
        <w:tblW w:w="5000" w:type="pct"/>
        <w:tblCellMar>
          <w:top w:w="113" w:type="dxa"/>
          <w:left w:w="10" w:type="dxa"/>
          <w:bottom w:w="113" w:type="dxa"/>
          <w:right w:w="10" w:type="dxa"/>
        </w:tblCellMar>
        <w:tblLook w:val="0000" w:firstRow="0" w:lastRow="0" w:firstColumn="0" w:lastColumn="0" w:noHBand="0" w:noVBand="0"/>
      </w:tblPr>
      <w:tblGrid>
        <w:gridCol w:w="463"/>
        <w:gridCol w:w="1328"/>
        <w:gridCol w:w="1661"/>
        <w:gridCol w:w="1867"/>
        <w:gridCol w:w="3742"/>
        <w:gridCol w:w="4927"/>
      </w:tblGrid>
      <w:tr w:rsidR="005058F2" w:rsidRPr="004D093B" w14:paraId="7E2E9B6A" w14:textId="77777777" w:rsidTr="004D093B">
        <w:trPr>
          <w:cantSplit/>
          <w:trHeight w:val="186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4C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7C9CE" w14:textId="77777777" w:rsidR="005058F2" w:rsidRPr="004D093B" w:rsidRDefault="005058F2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FFFFFF"/>
              </w:rPr>
            </w:pPr>
            <w:r w:rsidRPr="004D093B">
              <w:rPr>
                <w:rFonts w:ascii="Lato" w:hAnsi="Lato" w:cstheme="majorHAnsi"/>
                <w:b/>
                <w:bCs/>
                <w:color w:val="FFFFFF"/>
              </w:rPr>
              <w:t>Programy lekowe i chemioterapia</w:t>
            </w:r>
          </w:p>
        </w:tc>
      </w:tr>
      <w:tr w:rsidR="005058F2" w:rsidRPr="004D093B" w14:paraId="1C096482" w14:textId="77777777" w:rsidTr="004D093B">
        <w:trPr>
          <w:cantSplit/>
          <w:trHeight w:val="206"/>
        </w:trPr>
        <w:tc>
          <w:tcPr>
            <w:tcW w:w="5000" w:type="pct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D3F6C" w14:textId="047D7715" w:rsidR="005058F2" w:rsidRPr="004D093B" w:rsidRDefault="005058F2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FFFFFF"/>
              </w:rPr>
            </w:pPr>
            <w:r w:rsidRPr="004D093B">
              <w:rPr>
                <w:rFonts w:ascii="Lato" w:hAnsi="Lato" w:cstheme="majorHAnsi"/>
                <w:b/>
                <w:bCs/>
                <w:color w:val="FFFFFF"/>
              </w:rPr>
              <w:t>Nowe wskazania onkologiczne</w:t>
            </w:r>
          </w:p>
        </w:tc>
      </w:tr>
      <w:tr w:rsidR="008378F3" w:rsidRPr="004D093B" w14:paraId="60CDF2D4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18D0B" w14:textId="77777777" w:rsidR="005058F2" w:rsidRPr="004D093B" w:rsidRDefault="005058F2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CB337" w14:textId="77777777" w:rsidR="005058F2" w:rsidRPr="004D093B" w:rsidRDefault="005058F2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Nazwa leku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4251E" w14:textId="77777777" w:rsidR="005058F2" w:rsidRPr="004D093B" w:rsidRDefault="005058F2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Substancja czynna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0A519" w14:textId="77777777" w:rsidR="005058F2" w:rsidRPr="004D093B" w:rsidRDefault="005058F2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Numer programu lekowego/załącznika chemioterapii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A8893" w14:textId="77777777" w:rsidR="005058F2" w:rsidRPr="004D093B" w:rsidRDefault="005058F2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Nazwa programu lekowego/ Załącznika chemioterapii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64232" w14:textId="77777777" w:rsidR="005058F2" w:rsidRPr="004D093B" w:rsidRDefault="005058F2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Doprecyzowanie wskazania</w:t>
            </w:r>
          </w:p>
        </w:tc>
      </w:tr>
      <w:tr w:rsidR="008378F3" w:rsidRPr="004D093B" w14:paraId="7B60364B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DDFB9" w14:textId="2AAEEAC0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C820A" w14:textId="0DAEB298" w:rsidR="00F81D5E" w:rsidRPr="008378F3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378F3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Imfinzi</w:t>
            </w:r>
            <w:proofErr w:type="spellEnd"/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59E90" w14:textId="02062479" w:rsidR="00F81D5E" w:rsidRPr="008378F3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sz w:val="18"/>
                <w:szCs w:val="18"/>
              </w:rPr>
            </w:pPr>
            <w:proofErr w:type="spellStart"/>
            <w:r w:rsidRPr="008378F3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durwalumab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0C791" w14:textId="40B1F2B9" w:rsidR="00F81D5E" w:rsidRPr="008378F3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8378F3">
              <w:rPr>
                <w:rFonts w:ascii="Lato" w:hAnsi="Lato" w:cstheme="majorHAnsi"/>
                <w:color w:val="000000"/>
                <w:sz w:val="18"/>
                <w:szCs w:val="18"/>
              </w:rPr>
              <w:t>B.5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4C392" w14:textId="05B988F7" w:rsidR="00F81D5E" w:rsidRPr="008378F3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8378F3">
              <w:rPr>
                <w:rFonts w:ascii="Lato" w:hAnsi="Lato" w:cstheme="majorHAnsi"/>
                <w:color w:val="000000"/>
                <w:sz w:val="18"/>
                <w:szCs w:val="18"/>
              </w:rPr>
              <w:t>LECZENIE CHORYCH NA RAKA WĄTROBOWOKOMÓRKOWEGO (ICD-10: C22.0) LUB RAKA DRÓG ŻÓŁCIOWYCH (ICD-10: C22.1, C23, C24.0, C24.1, C24.8, C24.9)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F6CDD" w14:textId="3526651E" w:rsidR="00F81D5E" w:rsidRPr="008378F3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8378F3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Leczenie </w:t>
            </w:r>
            <w:r w:rsidR="006120D3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pierwszej linii </w:t>
            </w:r>
            <w:proofErr w:type="spellStart"/>
            <w:r w:rsidRPr="008378F3">
              <w:rPr>
                <w:rFonts w:ascii="Lato" w:hAnsi="Lato" w:cstheme="majorHAnsi"/>
                <w:color w:val="000000"/>
                <w:sz w:val="18"/>
                <w:szCs w:val="18"/>
              </w:rPr>
              <w:t>durwalumabem</w:t>
            </w:r>
            <w:proofErr w:type="spellEnd"/>
            <w:r w:rsidRPr="008378F3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(w skojarzaniu w chemioterapią opartą na związkach platyny i </w:t>
            </w:r>
            <w:proofErr w:type="spellStart"/>
            <w:r w:rsidRPr="008378F3">
              <w:rPr>
                <w:rFonts w:ascii="Lato" w:hAnsi="Lato" w:cstheme="majorHAnsi"/>
                <w:color w:val="000000"/>
                <w:sz w:val="18"/>
                <w:szCs w:val="18"/>
              </w:rPr>
              <w:t>gemcytabinie</w:t>
            </w:r>
            <w:proofErr w:type="spellEnd"/>
            <w:r w:rsidRPr="008378F3">
              <w:rPr>
                <w:rFonts w:ascii="Lato" w:hAnsi="Lato" w:cstheme="majorHAnsi"/>
                <w:color w:val="000000"/>
                <w:sz w:val="18"/>
                <w:szCs w:val="18"/>
              </w:rPr>
              <w:t>) pacjentów z miejscowo zaawansowanym lub przerzutowym gruczolakorakiem dróg żółciowych</w:t>
            </w:r>
            <w:r w:rsidR="006120D3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855871" w:rsidRPr="004D093B" w14:paraId="40A1F816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5B603" w14:textId="0A4D49C1" w:rsidR="00855871" w:rsidRPr="004D093B" w:rsidRDefault="008378F3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474BE" w14:textId="5E4CB1CB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F17E04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Columvi</w:t>
            </w:r>
            <w:proofErr w:type="spellEnd"/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8D30" w14:textId="3F4D90DD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F17E04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glofitamab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8676B" w14:textId="1DBB3924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B.12.FM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44CD1" w14:textId="61028F44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LECZENIE CHORYCH NA CHŁONIAKI B-KOMÓRKOWE (ICD-10: C82, C83, C85)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D13DE" w14:textId="575D7748" w:rsidR="00855871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L</w:t>
            </w:r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eczenie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od III linii dorosłych chorych na </w:t>
            </w:r>
            <w:proofErr w:type="spellStart"/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chłoniaka</w:t>
            </w:r>
            <w:proofErr w:type="spellEnd"/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rozlanego z dużych komórek B (DLBCL) </w:t>
            </w:r>
            <w:proofErr w:type="spellStart"/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glofitamabem</w:t>
            </w:r>
            <w:proofErr w:type="spellEnd"/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monoterapii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, </w:t>
            </w:r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po wcześniejszym zastosowaniu co najmniej 2 linii leczenia układowego</w:t>
            </w:r>
            <w:r w:rsidR="006120D3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  <w:p w14:paraId="25D39258" w14:textId="19EFFBAD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 w:rsidRPr="00F17E04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(Choroba rzadka)</w:t>
            </w:r>
          </w:p>
        </w:tc>
      </w:tr>
      <w:tr w:rsidR="00855871" w:rsidRPr="004D093B" w14:paraId="3DE5B4CF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15CF3" w14:textId="45AB8CCB" w:rsidR="00855871" w:rsidRPr="004D093B" w:rsidRDefault="008378F3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7B06A" w14:textId="2696CF07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Tepkinly</w:t>
            </w:r>
            <w:proofErr w:type="spellEnd"/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7C00E" w14:textId="0290F558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epkorytamab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FA224" w14:textId="0E20F47C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B.12.FM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C1CBE" w14:textId="0C7777B9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LECZENIE CHORYCH NA CHŁONIAKI B-KOMÓRKOWE (ICD-10: C82, C83, C85)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AAFFD" w14:textId="7CC97369" w:rsidR="00855871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L</w:t>
            </w:r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eczenie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od III linii dorosłych chorych na </w:t>
            </w:r>
            <w:proofErr w:type="spellStart"/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chłoniaka</w:t>
            </w:r>
            <w:proofErr w:type="spellEnd"/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rozlanego z dużych komórek B (DL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BCL)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epkorytamabem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w </w:t>
            </w:r>
            <w:proofErr w:type="spellStart"/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monoterapii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, </w:t>
            </w:r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po wcześniejszym zastosowaniu co najmniej 2 linii leczenia ogólnoustrojowego, w tym leczenia zawierającego przeciwciało anty-CD20, z przeciwwskazaniami do HSCT lub po niepowodzeniu </w:t>
            </w:r>
            <w:proofErr w:type="spellStart"/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autoHSCT</w:t>
            </w:r>
            <w:proofErr w:type="spellEnd"/>
            <w:r w:rsidR="006120D3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  <w:p w14:paraId="1FC75A73" w14:textId="367E4584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 w:rsidRPr="00F17E04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(Choroba rzadka)</w:t>
            </w:r>
          </w:p>
        </w:tc>
      </w:tr>
      <w:tr w:rsidR="00855871" w:rsidRPr="004D093B" w14:paraId="6031CFE4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113DE" w14:textId="31EA42E7" w:rsidR="00855871" w:rsidRPr="004D093B" w:rsidRDefault="008378F3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426E7" w14:textId="253DB32B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Yescarta</w:t>
            </w:r>
            <w:proofErr w:type="spellEnd"/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56466" w14:textId="4B0F46C5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a</w:t>
            </w:r>
            <w:r w:rsidRPr="00F17E04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ksykabtagen</w:t>
            </w:r>
            <w:proofErr w:type="spellEnd"/>
            <w:r w:rsidRPr="00F17E04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17E04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cyloleucel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A041" w14:textId="241ADEB7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B.12.FM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5B98D" w14:textId="5E38AE20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LECZENIE CHORYCH NA CHŁONIAKI B-KOMÓRKOWE (ICD-10: C82, C83, C85)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72846" w14:textId="58C0F024" w:rsidR="00855871" w:rsidRDefault="006120D3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Leczenie II linii</w:t>
            </w:r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dorosłych chorych na </w:t>
            </w:r>
            <w:proofErr w:type="spellStart"/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chłoniaka</w:t>
            </w:r>
            <w:proofErr w:type="spellEnd"/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rozlanego z dużych komórek B (DL</w:t>
            </w:r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BCL), w tym </w:t>
            </w:r>
            <w:proofErr w:type="spellStart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>stransformowanego</w:t>
            </w:r>
            <w:proofErr w:type="spellEnd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DLBCL </w:t>
            </w:r>
            <w:proofErr w:type="spellStart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>chłoniaka</w:t>
            </w:r>
            <w:proofErr w:type="spellEnd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grudkowego (TFL) oraz </w:t>
            </w:r>
            <w:proofErr w:type="spellStart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>chłoniaka</w:t>
            </w:r>
            <w:proofErr w:type="spellEnd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komórek B o wysokim stopniu złośliwości (HGBCL) </w:t>
            </w:r>
            <w:proofErr w:type="spellStart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>aksykabtagenem</w:t>
            </w:r>
            <w:proofErr w:type="spellEnd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>cyloleucelu</w:t>
            </w:r>
            <w:proofErr w:type="spellEnd"/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(terapia CAR-T), z nawrotem choroby w ciągu 12 miesięcy od </w:t>
            </w:r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zakończenia </w:t>
            </w:r>
            <w:proofErr w:type="spellStart"/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immunochemioterapii</w:t>
            </w:r>
            <w:proofErr w:type="spellEnd"/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>pierwszej</w:t>
            </w:r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linii lub </w:t>
            </w:r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 </w:t>
            </w:r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chorob</w:t>
            </w:r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>ą</w:t>
            </w:r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oporn</w:t>
            </w:r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>ą</w:t>
            </w:r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immunochemioterapię</w:t>
            </w:r>
            <w:proofErr w:type="spellEnd"/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>pierwszej</w:t>
            </w:r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linii, kwalifikujących się do </w:t>
            </w:r>
            <w:proofErr w:type="spellStart"/>
            <w:r w:rsidR="00855871" w:rsidRPr="00F17E04">
              <w:rPr>
                <w:rFonts w:ascii="Lato" w:hAnsi="Lato" w:cstheme="majorHAnsi"/>
                <w:color w:val="000000"/>
                <w:sz w:val="18"/>
                <w:szCs w:val="18"/>
              </w:rPr>
              <w:t>autoHSCT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  <w:p w14:paraId="769C2B30" w14:textId="21C0DD79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 w:rsidRPr="004D0316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(Choroba rzadka)</w:t>
            </w:r>
          </w:p>
        </w:tc>
      </w:tr>
      <w:tr w:rsidR="00855871" w:rsidRPr="004D093B" w14:paraId="4AA6E0FA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E5C8" w14:textId="6513BB2D" w:rsidR="00855871" w:rsidRPr="004D093B" w:rsidRDefault="008378F3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lastRenderedPageBreak/>
              <w:t>5.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C0E83" w14:textId="7EFD2ED7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sz w:val="18"/>
                <w:szCs w:val="18"/>
              </w:rPr>
              <w:t>Tecvayli</w:t>
            </w:r>
            <w:proofErr w:type="spellEnd"/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57DCC" w14:textId="51FADDAC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sz w:val="18"/>
                <w:szCs w:val="18"/>
              </w:rPr>
              <w:t>teklistamab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7DC84" w14:textId="2016FB29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B.54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392E3" w14:textId="3F7CEB20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 w:rsidRPr="0070575E">
              <w:rPr>
                <w:rFonts w:ascii="Lato" w:hAnsi="Lato" w:cstheme="majorHAnsi"/>
                <w:sz w:val="18"/>
                <w:szCs w:val="18"/>
              </w:rPr>
              <w:t>LECZENIE CHORYCH NA SZPICZAKA PLAZMOCYTOWEGO (ICD-10: C90.0)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77805" w14:textId="5E40947B" w:rsidR="00855871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 xml:space="preserve">Leczenie od IV linii </w:t>
            </w:r>
            <w:proofErr w:type="spellStart"/>
            <w:r>
              <w:rPr>
                <w:rFonts w:ascii="Lato" w:hAnsi="Lato" w:cstheme="majorHAnsi"/>
                <w:sz w:val="18"/>
                <w:szCs w:val="18"/>
              </w:rPr>
              <w:t>teklistamabem</w:t>
            </w:r>
            <w:proofErr w:type="spellEnd"/>
            <w:r>
              <w:rPr>
                <w:rFonts w:ascii="Lato" w:hAnsi="Lato" w:cstheme="majorHAnsi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Lato" w:hAnsi="Lato" w:cstheme="majorHAnsi"/>
                <w:sz w:val="18"/>
                <w:szCs w:val="18"/>
              </w:rPr>
              <w:t>monoterapii</w:t>
            </w:r>
            <w:proofErr w:type="spellEnd"/>
            <w:r w:rsidRPr="00391809">
              <w:rPr>
                <w:rFonts w:ascii="Lato" w:hAnsi="Lato" w:cstheme="majorHAnsi"/>
                <w:sz w:val="18"/>
                <w:szCs w:val="18"/>
              </w:rPr>
              <w:t xml:space="preserve"> dorosłych chorych na szpiczaka plazmocytowego</w:t>
            </w:r>
            <w:r>
              <w:rPr>
                <w:rFonts w:ascii="Lato" w:hAnsi="Lato" w:cstheme="majorHAnsi"/>
                <w:sz w:val="18"/>
                <w:szCs w:val="18"/>
              </w:rPr>
              <w:t xml:space="preserve">, </w:t>
            </w:r>
            <w:r w:rsidRPr="00391809">
              <w:rPr>
                <w:rFonts w:ascii="Lato" w:hAnsi="Lato" w:cstheme="majorHAnsi"/>
                <w:sz w:val="18"/>
                <w:szCs w:val="18"/>
              </w:rPr>
              <w:t xml:space="preserve">u których stosowano uprzednio co najmniej trzy linie leczenia szpiczaka plazmocytowego, w tym zawierające lek immunomodulujący, inhibitor </w:t>
            </w:r>
            <w:proofErr w:type="spellStart"/>
            <w:r w:rsidRPr="00391809">
              <w:rPr>
                <w:rFonts w:ascii="Lato" w:hAnsi="Lato" w:cstheme="majorHAnsi"/>
                <w:sz w:val="18"/>
                <w:szCs w:val="18"/>
              </w:rPr>
              <w:t>proteasomu</w:t>
            </w:r>
            <w:proofErr w:type="spellEnd"/>
            <w:r w:rsidRPr="00391809">
              <w:rPr>
                <w:rFonts w:ascii="Lato" w:hAnsi="Lato" w:cstheme="majorHAnsi"/>
                <w:sz w:val="18"/>
                <w:szCs w:val="18"/>
              </w:rPr>
              <w:t xml:space="preserve"> oraz przeciwciało anty-CD38</w:t>
            </w:r>
            <w:r w:rsidR="006120D3">
              <w:rPr>
                <w:rFonts w:ascii="Lato" w:hAnsi="Lato" w:cstheme="majorHAnsi"/>
                <w:sz w:val="18"/>
                <w:szCs w:val="18"/>
              </w:rPr>
              <w:t>.</w:t>
            </w:r>
          </w:p>
          <w:p w14:paraId="4016EDA0" w14:textId="2144327B" w:rsidR="00855871" w:rsidRPr="00526509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  <w:highlight w:val="yellow"/>
              </w:rPr>
            </w:pPr>
            <w:r w:rsidRPr="004D0316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(Choroba rzadka)</w:t>
            </w:r>
          </w:p>
        </w:tc>
      </w:tr>
      <w:tr w:rsidR="008378F3" w:rsidRPr="004D093B" w14:paraId="4193F70D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0FFFD" w14:textId="517C497E" w:rsidR="00855871" w:rsidRPr="004D093B" w:rsidRDefault="008378F3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97AD5" w14:textId="55E16BC1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Keytruda</w:t>
            </w:r>
            <w:proofErr w:type="spellEnd"/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A02D7" w14:textId="43EFB9C8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pembrolizumab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BB432" w14:textId="5EB7125C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B.59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9D95" w14:textId="3048320F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LECZENIE CHORYCH NA CZERNIAKA SKÓRY LUB BŁON ŚLUZOWYCH (ICD-10: C43)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6388A" w14:textId="5CB52CBC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Leczenie uzupełniające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pembrolizumabem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chorych na czerniaka skóry lub błon śluzowych w stadium IIB i IIC.</w:t>
            </w:r>
          </w:p>
        </w:tc>
      </w:tr>
      <w:tr w:rsidR="008378F3" w:rsidRPr="004D093B" w14:paraId="34137848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B03C1" w14:textId="603AC972" w:rsidR="00855871" w:rsidRPr="004D093B" w:rsidRDefault="008378F3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7.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BE305" w14:textId="58AED8B0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sz w:val="18"/>
                <w:szCs w:val="18"/>
              </w:rPr>
              <w:t>Tecartus</w:t>
            </w:r>
            <w:proofErr w:type="spellEnd"/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123D5" w14:textId="46BBC51C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sz w:val="18"/>
                <w:szCs w:val="18"/>
              </w:rPr>
              <w:t>b</w:t>
            </w:r>
            <w:r w:rsidRPr="00AA33CF">
              <w:rPr>
                <w:rFonts w:ascii="Lato" w:hAnsi="Lato" w:cstheme="majorHAnsi"/>
                <w:i/>
                <w:iCs/>
                <w:sz w:val="18"/>
                <w:szCs w:val="18"/>
              </w:rPr>
              <w:t>reksukabtagen</w:t>
            </w:r>
            <w:proofErr w:type="spellEnd"/>
            <w:r w:rsidRPr="00AA33CF">
              <w:rPr>
                <w:rFonts w:ascii="Lato" w:hAnsi="Lato" w:cstheme="maj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A33CF">
              <w:rPr>
                <w:rFonts w:ascii="Lato" w:hAnsi="Lato" w:cstheme="majorHAnsi"/>
                <w:i/>
                <w:iCs/>
                <w:sz w:val="18"/>
                <w:szCs w:val="18"/>
              </w:rPr>
              <w:t>autoleucel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ADAB" w14:textId="2C858F9A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B.65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B6CBD" w14:textId="3654FAE0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646170">
              <w:rPr>
                <w:rFonts w:ascii="Lato" w:hAnsi="Lato" w:cstheme="majorHAnsi"/>
                <w:sz w:val="18"/>
                <w:szCs w:val="18"/>
              </w:rPr>
              <w:t>LECZENIE CHORYCH NA OSTRĄ BIAŁACZKĘ LIMFOBLASTYCZNĄ (ICD-10: C91.0)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900CE" w14:textId="17B6E374" w:rsidR="00855871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646170">
              <w:rPr>
                <w:rFonts w:ascii="Lato" w:hAnsi="Lato" w:cstheme="majorHAnsi"/>
                <w:sz w:val="18"/>
                <w:szCs w:val="18"/>
              </w:rPr>
              <w:t xml:space="preserve">Leczenie pacjentów w wieku 26 lat i powyżej chorych na oporną lub nawrotową ostrą białaczkę </w:t>
            </w:r>
            <w:proofErr w:type="spellStart"/>
            <w:r w:rsidRPr="00646170">
              <w:rPr>
                <w:rFonts w:ascii="Lato" w:hAnsi="Lato" w:cstheme="majorHAnsi"/>
                <w:sz w:val="18"/>
                <w:szCs w:val="18"/>
              </w:rPr>
              <w:t>limfoblastyczną</w:t>
            </w:r>
            <w:proofErr w:type="spellEnd"/>
            <w:r w:rsidRPr="00646170">
              <w:rPr>
                <w:rFonts w:ascii="Lato" w:hAnsi="Lato" w:cstheme="majorHAnsi"/>
                <w:sz w:val="18"/>
                <w:szCs w:val="18"/>
              </w:rPr>
              <w:t xml:space="preserve"> z komórek B</w:t>
            </w:r>
            <w:r>
              <w:rPr>
                <w:rFonts w:ascii="Lato" w:hAnsi="Lato" w:cstheme="maj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ato" w:hAnsi="Lato" w:cstheme="majorHAnsi"/>
                <w:sz w:val="18"/>
                <w:szCs w:val="18"/>
              </w:rPr>
              <w:t>breksukabtagenem</w:t>
            </w:r>
            <w:proofErr w:type="spellEnd"/>
            <w:r>
              <w:rPr>
                <w:rFonts w:ascii="Lato" w:hAnsi="Lato" w:cstheme="maj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ato" w:hAnsi="Lato" w:cstheme="majorHAnsi"/>
                <w:sz w:val="18"/>
                <w:szCs w:val="18"/>
              </w:rPr>
              <w:t>autoleucelu</w:t>
            </w:r>
            <w:proofErr w:type="spellEnd"/>
            <w:r>
              <w:rPr>
                <w:rFonts w:ascii="Lato" w:hAnsi="Lato" w:cstheme="majorHAnsi"/>
                <w:sz w:val="18"/>
                <w:szCs w:val="18"/>
              </w:rPr>
              <w:t xml:space="preserve"> (terapia CAR-T)</w:t>
            </w:r>
            <w:r w:rsidR="006120D3">
              <w:rPr>
                <w:rFonts w:ascii="Lato" w:hAnsi="Lato" w:cstheme="majorHAnsi"/>
                <w:sz w:val="18"/>
                <w:szCs w:val="18"/>
              </w:rPr>
              <w:t>.</w:t>
            </w:r>
          </w:p>
          <w:p w14:paraId="75074C9F" w14:textId="5690905D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4D0316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</w:t>
            </w:r>
            <w:r w:rsidRPr="00E21390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Choroba rz</w:t>
            </w:r>
            <w:r w:rsidRPr="004D0316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adka)</w:t>
            </w:r>
          </w:p>
        </w:tc>
      </w:tr>
      <w:tr w:rsidR="00855871" w:rsidRPr="004D093B" w14:paraId="1458A69A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B5F20" w14:textId="53C91E98" w:rsidR="00855871" w:rsidRPr="004D093B" w:rsidRDefault="008378F3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8.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241E" w14:textId="02FF1C1A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sz w:val="18"/>
                <w:szCs w:val="18"/>
              </w:rPr>
              <w:t>Adcetris</w:t>
            </w:r>
            <w:proofErr w:type="spellEnd"/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F7667" w14:textId="0FE5BC88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sz w:val="18"/>
                <w:szCs w:val="18"/>
              </w:rPr>
              <w:t>brentuksymab</w:t>
            </w:r>
            <w:proofErr w:type="spellEnd"/>
            <w:r>
              <w:rPr>
                <w:rFonts w:ascii="Lato" w:hAnsi="Lato" w:cstheme="majorHAnsi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ato" w:hAnsi="Lato" w:cstheme="majorHAnsi"/>
                <w:i/>
                <w:iCs/>
                <w:sz w:val="18"/>
                <w:szCs w:val="18"/>
              </w:rPr>
              <w:t>vedotin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E2FA6" w14:textId="7B7E71E4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B.77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6D22A" w14:textId="75292B74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737B8A">
              <w:rPr>
                <w:rFonts w:ascii="Lato" w:hAnsi="Lato" w:cstheme="majorHAnsi"/>
                <w:sz w:val="18"/>
                <w:szCs w:val="18"/>
              </w:rPr>
              <w:t>LECZENIE CHORYCH NA KLASYCZNEGO CHŁONIAKA HODGKINA (ICD-10: C81)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5D5CD" w14:textId="04324612" w:rsidR="00855871" w:rsidRDefault="002E6BA8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Leczenie I linii</w:t>
            </w:r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>brentuksymabem</w:t>
            </w:r>
            <w:proofErr w:type="spellEnd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>vedotin</w:t>
            </w:r>
            <w:proofErr w:type="spellEnd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skojarzeniu z </w:t>
            </w:r>
            <w:proofErr w:type="spellStart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>doksorubicyną</w:t>
            </w:r>
            <w:proofErr w:type="spellEnd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>winblastyną</w:t>
            </w:r>
            <w:proofErr w:type="spellEnd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i </w:t>
            </w:r>
            <w:proofErr w:type="spellStart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>dakarbazyną</w:t>
            </w:r>
            <w:proofErr w:type="spellEnd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(AVD) </w:t>
            </w:r>
            <w:r w:rsidR="0085587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dorosłych </w:t>
            </w:r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chorych na klasycznego </w:t>
            </w:r>
            <w:proofErr w:type="spellStart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>chłoniaka</w:t>
            </w:r>
            <w:proofErr w:type="spellEnd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>Hodgkina</w:t>
            </w:r>
            <w:proofErr w:type="spellEnd"/>
            <w:r w:rsidR="00855871" w:rsidRPr="00E21390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III stadium zaawansowania</w:t>
            </w:r>
            <w:r w:rsidR="006120D3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  <w:p w14:paraId="14296D74" w14:textId="18B7CA7A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E21390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(Choroba rzadka)</w:t>
            </w:r>
          </w:p>
        </w:tc>
      </w:tr>
      <w:tr w:rsidR="008378F3" w:rsidRPr="004D093B" w14:paraId="79F6918C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E9E07" w14:textId="65CFE94F" w:rsidR="00855871" w:rsidRPr="004D093B" w:rsidRDefault="008378F3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9.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16304" w14:textId="787C2B4C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D7CC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Keytruda</w:t>
            </w:r>
            <w:proofErr w:type="spellEnd"/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03638" w14:textId="4E95F4C2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D7CC2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pembrolizumab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CCACC" w14:textId="69DBA897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D7CC2">
              <w:rPr>
                <w:rFonts w:ascii="Lato" w:hAnsi="Lato" w:cstheme="majorHAnsi"/>
                <w:color w:val="000000"/>
                <w:sz w:val="18"/>
                <w:szCs w:val="18"/>
              </w:rPr>
              <w:t>B.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CE6BF" w14:textId="2ADF9B33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LECZENIE CHORYCH NA RAKA ENDOMETRIUM (ICD-10: C54)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D2A24" w14:textId="5F51AE0B" w:rsidR="00855871" w:rsidRPr="004D093B" w:rsidRDefault="00855871" w:rsidP="0085587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Leczenie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pembrolizumabem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w </w:t>
            </w:r>
            <w:proofErr w:type="spellStart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monoterapii</w:t>
            </w:r>
            <w:proofErr w:type="spellEnd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chorych na </w:t>
            </w:r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nawrotowego lub zaawansowanego raka endometrium z obecnoś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cią</w:t>
            </w:r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upośledzenia naprawy nieprawidłowo sparowanych nukleotydów (ang. </w:t>
            </w:r>
            <w:proofErr w:type="spellStart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mismatch</w:t>
            </w:r>
            <w:proofErr w:type="spellEnd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repair</w:t>
            </w:r>
            <w:proofErr w:type="spellEnd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deficient</w:t>
            </w:r>
            <w:proofErr w:type="spellEnd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dMMR</w:t>
            </w:r>
            <w:proofErr w:type="spellEnd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) lub wysokiej niestabilności </w:t>
            </w:r>
            <w:proofErr w:type="spellStart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mikrosatelitarnej</w:t>
            </w:r>
            <w:proofErr w:type="spellEnd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(ang. </w:t>
            </w:r>
            <w:proofErr w:type="spellStart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microsatellite</w:t>
            </w:r>
            <w:proofErr w:type="spellEnd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instabilityhigh</w:t>
            </w:r>
            <w:proofErr w:type="spellEnd"/>
            <w:r w:rsidRPr="00ED0AE7">
              <w:rPr>
                <w:rFonts w:ascii="Lato" w:hAnsi="Lato" w:cstheme="majorHAnsi"/>
                <w:color w:val="000000"/>
                <w:sz w:val="18"/>
                <w:szCs w:val="18"/>
              </w:rPr>
              <w:t>, MSIH)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8378F3" w:rsidRPr="004D093B" w14:paraId="2EAEEA58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A4B85" w14:textId="32BACB75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10.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EC7B" w14:textId="31BA1013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sz w:val="18"/>
                <w:szCs w:val="18"/>
              </w:rPr>
            </w:pPr>
            <w:r w:rsidRPr="0081255E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produkty handlowe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0093F" w14:textId="0A277FAB" w:rsidR="008378F3" w:rsidRPr="004D093B" w:rsidRDefault="0061137F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sz w:val="18"/>
                <w:szCs w:val="18"/>
              </w:rPr>
            </w:pPr>
            <w:proofErr w:type="spellStart"/>
            <w:r w:rsidRPr="0061137F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doksorubicyn</w:t>
            </w: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a</w:t>
            </w:r>
            <w:proofErr w:type="spellEnd"/>
            <w:r w:rsidRPr="0061137F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61137F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pegylowanych</w:t>
            </w:r>
            <w:proofErr w:type="spellEnd"/>
            <w:r w:rsidRPr="0061137F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 liposomach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F7235" w14:textId="1AD99F99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C.22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D1733" w14:textId="29CC70CC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DC2571">
              <w:rPr>
                <w:rFonts w:ascii="Lato" w:hAnsi="Lato" w:cstheme="majorHAnsi"/>
                <w:color w:val="000000"/>
                <w:sz w:val="18"/>
                <w:szCs w:val="18"/>
              </w:rPr>
              <w:t>DOXORUBICINUM LIPOSOMANUM PEGYLATUM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6304E" w14:textId="77777777" w:rsidR="008378F3" w:rsidRDefault="008378F3" w:rsidP="002E6BA8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Rozszerzenie wskazań refundacyjnych o</w:t>
            </w:r>
            <w:r w:rsidR="002E6BA8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2E6BA8">
              <w:rPr>
                <w:rFonts w:ascii="Lato" w:hAnsi="Lato" w:cstheme="majorHAnsi"/>
                <w:color w:val="000000"/>
                <w:sz w:val="18"/>
                <w:szCs w:val="18"/>
              </w:rPr>
              <w:t>nowotwór</w:t>
            </w:r>
            <w:r w:rsidR="002E6BA8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2E6BA8">
              <w:rPr>
                <w:rFonts w:ascii="Lato" w:hAnsi="Lato" w:cstheme="majorHAnsi"/>
                <w:color w:val="000000"/>
                <w:sz w:val="18"/>
                <w:szCs w:val="18"/>
              </w:rPr>
              <w:t>złośliwy przestrzeni zaotrzewnowej i otrzewnej (C48)</w:t>
            </w:r>
            <w:r w:rsidR="002E6BA8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oraz </w:t>
            </w:r>
            <w:r w:rsidRPr="002E6BA8">
              <w:rPr>
                <w:rFonts w:ascii="Lato" w:hAnsi="Lato" w:cstheme="majorHAnsi"/>
                <w:color w:val="000000"/>
                <w:sz w:val="18"/>
                <w:szCs w:val="18"/>
              </w:rPr>
              <w:t>nowotwór złośliwy innych i nieokreślonych żeńskich narządów płciowych (C57).</w:t>
            </w:r>
          </w:p>
          <w:p w14:paraId="7CDFBEFD" w14:textId="253635A0" w:rsidR="002E6BA8" w:rsidRPr="002E6BA8" w:rsidRDefault="002E6BA8" w:rsidP="002E6BA8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Konsekwentne rozszerzenie zakresu refundowanych wskazań w stosunku do zmian warunków refundacji leków z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trabektedyną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8378F3" w:rsidRPr="004D093B" w14:paraId="189EA4B0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243F4" w14:textId="70359CE2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lastRenderedPageBreak/>
              <w:t>11.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5A83A" w14:textId="1518A294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sz w:val="18"/>
                <w:szCs w:val="18"/>
              </w:rPr>
            </w:pPr>
            <w:r w:rsidRPr="0081255E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produkty handlowe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3A8F1" w14:textId="3907A901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trabe</w:t>
            </w:r>
            <w:r w:rsidR="0061137F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ktedyna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4E05E" w14:textId="425E0817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C.93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0668A" w14:textId="2C694415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TRABECTEDIN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AA7A9" w14:textId="5D65986B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sz w:val="18"/>
                <w:szCs w:val="18"/>
              </w:rPr>
            </w:pPr>
            <w:r w:rsidRPr="00FB343B">
              <w:rPr>
                <w:rFonts w:ascii="Lato" w:hAnsi="Lato" w:cstheme="majorHAnsi"/>
                <w:color w:val="000000"/>
                <w:sz w:val="18"/>
                <w:szCs w:val="18"/>
              </w:rPr>
              <w:t>Rozszerzenie wskazań refundacyjnych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o</w:t>
            </w:r>
            <w:r w:rsidRPr="00FB343B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nową populację chorych - </w:t>
            </w:r>
            <w:r w:rsidRPr="00FB343B">
              <w:rPr>
                <w:rFonts w:ascii="Lato" w:hAnsi="Lato"/>
                <w:sz w:val="18"/>
                <w:szCs w:val="18"/>
              </w:rPr>
              <w:t>pacjentk</w:t>
            </w:r>
            <w:r>
              <w:rPr>
                <w:rFonts w:ascii="Lato" w:hAnsi="Lato"/>
                <w:sz w:val="18"/>
                <w:szCs w:val="18"/>
              </w:rPr>
              <w:t>i</w:t>
            </w:r>
            <w:r w:rsidRPr="00FB343B">
              <w:rPr>
                <w:rFonts w:ascii="Lato" w:hAnsi="Lato"/>
                <w:sz w:val="18"/>
                <w:szCs w:val="18"/>
              </w:rPr>
              <w:t xml:space="preserve"> z nawrotowym </w:t>
            </w:r>
            <w:proofErr w:type="spellStart"/>
            <w:r w:rsidRPr="00FB343B">
              <w:rPr>
                <w:rFonts w:ascii="Lato" w:hAnsi="Lato"/>
                <w:sz w:val="18"/>
                <w:szCs w:val="18"/>
              </w:rPr>
              <w:t>platynowrażliwym</w:t>
            </w:r>
            <w:proofErr w:type="spellEnd"/>
            <w:r w:rsidRPr="00FB343B">
              <w:rPr>
                <w:rFonts w:ascii="Lato" w:hAnsi="Lato"/>
                <w:sz w:val="18"/>
                <w:szCs w:val="18"/>
              </w:rPr>
              <w:t xml:space="preserve"> rakiem jajnika, jajowodu lub pierwotnym rakiem otrzewnej, u których jest przeciwskazane zastosowanie schematu zawierającego związek platyny, w skojarzeniu z </w:t>
            </w:r>
            <w:proofErr w:type="spellStart"/>
            <w:r w:rsidRPr="00FB343B">
              <w:rPr>
                <w:rFonts w:ascii="Lato" w:hAnsi="Lato"/>
                <w:sz w:val="18"/>
                <w:szCs w:val="18"/>
              </w:rPr>
              <w:t>pegylowaną</w:t>
            </w:r>
            <w:proofErr w:type="spellEnd"/>
            <w:r w:rsidRPr="00FB343B">
              <w:rPr>
                <w:rFonts w:ascii="Lato" w:hAnsi="Lato"/>
                <w:sz w:val="18"/>
                <w:szCs w:val="18"/>
              </w:rPr>
              <w:t xml:space="preserve"> </w:t>
            </w:r>
            <w:proofErr w:type="spellStart"/>
            <w:r w:rsidRPr="00FB343B">
              <w:rPr>
                <w:rFonts w:ascii="Lato" w:hAnsi="Lato"/>
                <w:sz w:val="18"/>
                <w:szCs w:val="18"/>
              </w:rPr>
              <w:t>liposomalną</w:t>
            </w:r>
            <w:proofErr w:type="spellEnd"/>
            <w:r w:rsidRPr="00FB343B">
              <w:rPr>
                <w:rFonts w:ascii="Lato" w:hAnsi="Lato"/>
                <w:sz w:val="18"/>
                <w:szCs w:val="18"/>
              </w:rPr>
              <w:t xml:space="preserve"> </w:t>
            </w:r>
            <w:proofErr w:type="spellStart"/>
            <w:r w:rsidRPr="00FB343B">
              <w:rPr>
                <w:rFonts w:ascii="Lato" w:hAnsi="Lato"/>
                <w:sz w:val="18"/>
                <w:szCs w:val="18"/>
              </w:rPr>
              <w:t>doksorubicyną</w:t>
            </w:r>
            <w:proofErr w:type="spellEnd"/>
            <w:r w:rsidRPr="00FB343B">
              <w:rPr>
                <w:rFonts w:ascii="Lato" w:hAnsi="Lato"/>
                <w:sz w:val="18"/>
                <w:szCs w:val="18"/>
              </w:rPr>
              <w:t xml:space="preserve"> (PLD).</w:t>
            </w:r>
          </w:p>
        </w:tc>
      </w:tr>
      <w:tr w:rsidR="008378F3" w:rsidRPr="004D093B" w14:paraId="1E009573" w14:textId="77777777" w:rsidTr="008378F3">
        <w:trPr>
          <w:cantSplit/>
          <w:trHeight w:val="20"/>
        </w:trPr>
        <w:tc>
          <w:tcPr>
            <w:tcW w:w="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A8B68" w14:textId="552BD68B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12.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3070C" w14:textId="616942E1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sz w:val="18"/>
                <w:szCs w:val="18"/>
              </w:rPr>
            </w:pPr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nazwy handlowe</w:t>
            </w:r>
          </w:p>
        </w:tc>
        <w:tc>
          <w:tcPr>
            <w:tcW w:w="5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23146" w14:textId="2F2D08B0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lapat</w:t>
            </w:r>
            <w:r w:rsidR="0061137F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ynib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92311" w14:textId="54CCF49C" w:rsidR="008378F3" w:rsidRPr="003905D7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C.96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33ECF" w14:textId="55D0D7C4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LAPATINIB</w:t>
            </w:r>
          </w:p>
        </w:tc>
        <w:tc>
          <w:tcPr>
            <w:tcW w:w="1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0D14E" w14:textId="77777777" w:rsidR="0061137F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Lapatynib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stosowany w skojarzeniu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 </w:t>
            </w:r>
            <w:proofErr w:type="spellStart"/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kapecytabiną</w:t>
            </w:r>
            <w:proofErr w:type="spellEnd"/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lub </w:t>
            </w:r>
            <w:proofErr w:type="spellStart"/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trastuzumabem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i.v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lub hormonoterapią, u chorych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na przerzutowego lub miejscowo zawansowanego raka piersi (gdy radykalne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leczenie miejscowe jest nieskuteczne lub niemożliwe do zastosowania)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HER2-dodatniego raka piersi w drugiej lub kolejnej linii leczenia, a w pierwszej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tylko, gdy była stosowana terapia przedoperacyjna lub uzupełniająca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trastuzumabem</w:t>
            </w:r>
            <w:proofErr w:type="spellEnd"/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i czas od jej zakończenia do nawrotu wynosi nie więcej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niż 12 miesięcy lub nawrót wystąpił w jej trakcie.</w:t>
            </w:r>
          </w:p>
          <w:p w14:paraId="61CD59F2" w14:textId="0D4A69D8" w:rsidR="008378F3" w:rsidRPr="0061137F" w:rsidRDefault="008378F3" w:rsidP="0061137F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Powyższ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e wskazanie jest rozszerzeniem wskazań refundacyjnych o nową możliwość terapeutyczną zastosowania </w:t>
            </w:r>
            <w:proofErr w:type="spellStart"/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lapatynibu</w:t>
            </w:r>
            <w:proofErr w:type="spellEnd"/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do przypadków skojarzenia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go z </w:t>
            </w:r>
            <w:proofErr w:type="spellStart"/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trastuzumabem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i.v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lub hormonoterapią, a także w dalszych liniach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03046">
              <w:rPr>
                <w:rFonts w:ascii="Lato" w:hAnsi="Lato" w:cstheme="majorHAnsi"/>
                <w:color w:val="000000"/>
                <w:sz w:val="18"/>
                <w:szCs w:val="18"/>
              </w:rPr>
              <w:t>leczenia.</w:t>
            </w:r>
          </w:p>
        </w:tc>
      </w:tr>
    </w:tbl>
    <w:p w14:paraId="7F9CCF36" w14:textId="51B74B46" w:rsidR="004D093B" w:rsidRDefault="004D093B"/>
    <w:p w14:paraId="7FCF9A29" w14:textId="58935542" w:rsidR="005558C1" w:rsidRDefault="005558C1">
      <w:pPr>
        <w:suppressAutoHyphens w:val="0"/>
      </w:pPr>
      <w:r>
        <w:br w:type="page"/>
      </w:r>
    </w:p>
    <w:tbl>
      <w:tblPr>
        <w:tblW w:w="5000" w:type="pct"/>
        <w:tblCellMar>
          <w:top w:w="113" w:type="dxa"/>
          <w:left w:w="10" w:type="dxa"/>
          <w:bottom w:w="113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1474"/>
        <w:gridCol w:w="2364"/>
        <w:gridCol w:w="1867"/>
        <w:gridCol w:w="3119"/>
        <w:gridCol w:w="4669"/>
      </w:tblGrid>
      <w:tr w:rsidR="002D6ED9" w:rsidRPr="004D093B" w14:paraId="4C9C4901" w14:textId="77777777" w:rsidTr="004D093B">
        <w:trPr>
          <w:cantSplit/>
          <w:trHeight w:val="183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90A7" w14:textId="5C4E25DC" w:rsidR="002D6ED9" w:rsidRPr="004D093B" w:rsidRDefault="002D6ED9" w:rsidP="002D6ED9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FFFFFF"/>
              </w:rPr>
            </w:pPr>
            <w:r w:rsidRPr="004D093B">
              <w:rPr>
                <w:rFonts w:ascii="Lato" w:hAnsi="Lato" w:cstheme="majorHAnsi"/>
                <w:b/>
                <w:bCs/>
                <w:color w:val="FFFFFF"/>
              </w:rPr>
              <w:lastRenderedPageBreak/>
              <w:t>Nowe wskazania nieonkologiczne</w:t>
            </w:r>
          </w:p>
        </w:tc>
      </w:tr>
      <w:tr w:rsidR="002D6ED9" w:rsidRPr="004D093B" w14:paraId="1394CD71" w14:textId="77777777" w:rsidTr="009509F5">
        <w:trPr>
          <w:cantSplit/>
          <w:trHeight w:val="628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979BE" w14:textId="77777777" w:rsidR="002D6ED9" w:rsidRPr="004D093B" w:rsidRDefault="002D6ED9" w:rsidP="002D6ED9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02159" w14:textId="77777777" w:rsidR="002D6ED9" w:rsidRPr="004D093B" w:rsidRDefault="002D6ED9" w:rsidP="002D6ED9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Nazwa leku</w:t>
            </w: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C3D6F" w14:textId="77777777" w:rsidR="002D6ED9" w:rsidRPr="004D093B" w:rsidRDefault="002D6ED9" w:rsidP="002D6ED9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Substancja czynna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D8698" w14:textId="77777777" w:rsidR="002D6ED9" w:rsidRPr="004D093B" w:rsidRDefault="002D6ED9" w:rsidP="002D6ED9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Numer programu lekowego/załącznika chemioterapii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142B2" w14:textId="77777777" w:rsidR="002D6ED9" w:rsidRPr="004D093B" w:rsidRDefault="002D6ED9" w:rsidP="002D6ED9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Nazwa programu lekowego/ Załącznika chemioterapii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87975" w14:textId="77777777" w:rsidR="002D6ED9" w:rsidRPr="004D093B" w:rsidRDefault="002D6ED9" w:rsidP="002D6ED9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Doprecyzowanie wskazania</w:t>
            </w:r>
          </w:p>
        </w:tc>
      </w:tr>
      <w:tr w:rsidR="00F81D5E" w:rsidRPr="004D093B" w14:paraId="7522F87A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D592E" w14:textId="04B79DB7" w:rsidR="00F81D5E" w:rsidRPr="004D093B" w:rsidRDefault="008378F3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2FB93" w14:textId="5C902FA4" w:rsidR="00F81D5E" w:rsidRPr="004D093B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Ngenla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A0348" w14:textId="22809A32" w:rsidR="00F81D5E" w:rsidRPr="004D093B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somatrogon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CA292" w14:textId="3AA82E0E" w:rsidR="00F81D5E" w:rsidRPr="004D093B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B.19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58478" w14:textId="47C18276" w:rsidR="00F81D5E" w:rsidRPr="004D093B" w:rsidRDefault="00F81D5E" w:rsidP="0061137F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635F4F">
              <w:rPr>
                <w:rFonts w:ascii="Lato" w:hAnsi="Lato" w:cstheme="majorHAnsi"/>
                <w:color w:val="000000"/>
                <w:sz w:val="18"/>
                <w:szCs w:val="18"/>
              </w:rPr>
              <w:t>LECZENIE NISKOROSŁYCH DZIECI Z SOMATOTROPINOWĄ NIEDOCZYNNOŚCIĄ PRZYSADKI (ICD-10: E23)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7C9BB" w14:textId="31C01B71" w:rsidR="00F81D5E" w:rsidRPr="004D093B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7729FC">
              <w:rPr>
                <w:rFonts w:ascii="Lato" w:hAnsi="Lato" w:cstheme="majorHAnsi"/>
                <w:color w:val="000000"/>
                <w:sz w:val="18"/>
                <w:szCs w:val="18"/>
              </w:rPr>
              <w:t>Leczenie dzieci i młodzieży w wieku 3 lat i starszych z zaburzeniami wzrostu spowodowanymi niedostatecznym wydzielaniem hormonu wzrostu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F81D5E" w:rsidRPr="004D093B" w14:paraId="3DB7E467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24480" w14:textId="52277F8C" w:rsidR="00F81D5E" w:rsidRPr="004D093B" w:rsidRDefault="008378F3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AB3A7" w14:textId="593F52ED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B21B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Xeljanz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AB648" w14:textId="6D5D453B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t</w:t>
            </w:r>
            <w:r w:rsidRPr="001B21BB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ofac</w:t>
            </w: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ytynib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ACDE" w14:textId="2E35E14B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B.33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789C7" w14:textId="6410D3A2" w:rsidR="00F81D5E" w:rsidRPr="00635F4F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B21BB">
              <w:rPr>
                <w:rFonts w:ascii="Lato" w:hAnsi="Lato" w:cstheme="majorHAnsi"/>
                <w:color w:val="000000"/>
                <w:sz w:val="18"/>
                <w:szCs w:val="18"/>
              </w:rPr>
              <w:t>LECZENIE CHORYCH Z AKTYWNĄ POSTACIĄ REUMATOIDALNEGO ZAPALENIA STAWÓW I MŁODZIEŃCZEGO IDIOPATYCZNEGO ZAPALENIA STAWÓW (ICD-10: M05, M06, M08)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9D003" w14:textId="63221D44" w:rsidR="0061137F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R</w:t>
            </w:r>
            <w:r w:rsidRPr="00F6714B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ozszerzenie dostępności </w:t>
            </w:r>
            <w:proofErr w:type="spellStart"/>
            <w:r w:rsidRPr="00F6714B">
              <w:rPr>
                <w:rFonts w:ascii="Lato" w:hAnsi="Lato" w:cstheme="majorHAnsi"/>
                <w:color w:val="000000"/>
                <w:sz w:val="18"/>
                <w:szCs w:val="18"/>
              </w:rPr>
              <w:t>tofacytynibu</w:t>
            </w:r>
            <w:proofErr w:type="spellEnd"/>
            <w:r w:rsidRPr="00F6714B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programie B.33 o populacje pacjentów w wieku 2-18 lat z postacią wielostawową, </w:t>
            </w:r>
            <w:proofErr w:type="spellStart"/>
            <w:r w:rsidRPr="00F6714B">
              <w:rPr>
                <w:rFonts w:ascii="Lato" w:hAnsi="Lato" w:cstheme="majorHAnsi"/>
                <w:color w:val="000000"/>
                <w:sz w:val="18"/>
                <w:szCs w:val="18"/>
              </w:rPr>
              <w:t>nielicznostawową</w:t>
            </w:r>
            <w:proofErr w:type="spellEnd"/>
            <w:r w:rsidRPr="00F6714B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rozszerzającą się oraz utrwaloną młodzieńczego idiopatycznego zapalenia stawów </w:t>
            </w:r>
            <w:r w:rsidR="0061137F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(MIZS) </w:t>
            </w:r>
            <w:r w:rsidRPr="00F6714B">
              <w:rPr>
                <w:rFonts w:ascii="Lato" w:hAnsi="Lato" w:cstheme="majorHAnsi"/>
                <w:color w:val="000000"/>
                <w:sz w:val="18"/>
                <w:szCs w:val="18"/>
              </w:rPr>
              <w:t>oraz młodzieńczego łuszczycowego zapalenia stawów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</w:t>
            </w:r>
          </w:p>
          <w:p w14:paraId="7CED7BEB" w14:textId="65B6D297" w:rsidR="00F81D5E" w:rsidRPr="007729FC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Pierwszy </w:t>
            </w:r>
            <w:r w:rsidRPr="00F6714B">
              <w:rPr>
                <w:rFonts w:ascii="Lato" w:hAnsi="Lato" w:cstheme="majorHAnsi"/>
                <w:color w:val="000000"/>
                <w:sz w:val="18"/>
                <w:szCs w:val="18"/>
              </w:rPr>
              <w:t>inhibitor z rodziny JAK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leczeniu chorych z MIZS.</w:t>
            </w:r>
          </w:p>
        </w:tc>
      </w:tr>
      <w:tr w:rsidR="00F81D5E" w:rsidRPr="004D093B" w14:paraId="16A5F877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CAE47" w14:textId="68A66911" w:rsidR="00F81D5E" w:rsidRPr="004D093B" w:rsidRDefault="008378F3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D7D3" w14:textId="6862D4CD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B21B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Bimzelx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28135" w14:textId="328AAEE4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b</w:t>
            </w:r>
            <w:r w:rsidRPr="001B21BB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imekizumab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3BA01" w14:textId="0D642252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B.35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373A1" w14:textId="55854DD3" w:rsidR="00F81D5E" w:rsidRPr="00635F4F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B21BB">
              <w:rPr>
                <w:rFonts w:ascii="Lato" w:hAnsi="Lato" w:cstheme="majorHAnsi"/>
                <w:color w:val="000000"/>
                <w:sz w:val="18"/>
                <w:szCs w:val="18"/>
              </w:rPr>
              <w:t>LECZENIE CHORYCH Z ŁUSZCZYCOWYM ZAPALENIEM STAWÓW (ŁZS) (ICD-10: L40.5, M07.1, M07.2, M07.3)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BC060" w14:textId="77777777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Leczenie pacjentów z łuszczycowym zapaleniem stawów (ŁZS) po niepowodzeniu (lub w przypadku przeciwwskazań do stosowania) terapii opartych o niesteroidowe leki przeciwzapalne (NLPZ), </w:t>
            </w:r>
            <w:proofErr w:type="spellStart"/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>glikokortykosteroidy</w:t>
            </w:r>
            <w:proofErr w:type="spellEnd"/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(GKS) i klasyczne leki modyfikujące przebieg choroby (DMARD). </w:t>
            </w:r>
          </w:p>
          <w:p w14:paraId="43F7DB54" w14:textId="72F6DA44" w:rsidR="0061137F" w:rsidRPr="007729FC" w:rsidRDefault="0061137F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K</w:t>
            </w:r>
            <w:r w:rsidRPr="00F539FB">
              <w:rPr>
                <w:rFonts w:ascii="Lato" w:hAnsi="Lato" w:cstheme="majorHAnsi"/>
                <w:color w:val="000000"/>
                <w:sz w:val="18"/>
                <w:szCs w:val="18"/>
              </w:rPr>
              <w:t>olejny lek biologiczny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programie B.35. </w:t>
            </w:r>
            <w:proofErr w:type="spellStart"/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>Bimekizumab</w:t>
            </w:r>
            <w:proofErr w:type="spellEnd"/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jest humanizowanym przeciwciałem monoklonalnym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wiążącym</w:t>
            </w:r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si</w:t>
            </w:r>
            <w:r w:rsidRPr="00D571E2">
              <w:rPr>
                <w:rFonts w:ascii="Lato" w:hAnsi="Lato" w:cs="Lato"/>
                <w:color w:val="000000"/>
                <w:sz w:val="18"/>
                <w:szCs w:val="18"/>
              </w:rPr>
              <w:t>ę</w:t>
            </w:r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wybi</w:t>
            </w:r>
            <w:r w:rsidRPr="00D571E2">
              <w:rPr>
                <w:rFonts w:ascii="Lato" w:hAnsi="Lato" w:cs="Lato"/>
                <w:color w:val="000000"/>
                <w:sz w:val="18"/>
                <w:szCs w:val="18"/>
              </w:rPr>
              <w:t>ó</w:t>
            </w:r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>rczo i z wysokim powinowactwem z cytokinami IL-17A, IL-17F i IL-17AF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F81D5E" w:rsidRPr="004D093B" w14:paraId="47D4D28F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9E751" w14:textId="170DBD95" w:rsidR="00F81D5E" w:rsidRPr="004D093B" w:rsidRDefault="008378F3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BD22A" w14:textId="1607270B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B21B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Bimzelx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A5087" w14:textId="2B719675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b</w:t>
            </w:r>
            <w:r w:rsidRPr="001B21BB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imekizumab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1886" w14:textId="3FA5C897" w:rsidR="00F81D5E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B.36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9791D" w14:textId="560D2AA3" w:rsidR="00F81D5E" w:rsidRPr="00635F4F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B21BB">
              <w:rPr>
                <w:rFonts w:ascii="Lato" w:hAnsi="Lato" w:cstheme="majorHAnsi"/>
                <w:color w:val="000000"/>
                <w:sz w:val="18"/>
                <w:szCs w:val="18"/>
              </w:rPr>
              <w:t>LECZENIE CHORYCH Z AKTYWNĄ POSTACIĄ ZESZTYWNIAJĄCEGO ZAPALENIA STAWÓW KRĘGOSŁUPA (ZZSK) (ICD-10: M45)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AD1AD" w14:textId="77777777" w:rsidR="00D571E2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>Leczenie pacjentów z aktywną postacią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zesztywniającego zapalenia stawów kręgosłupa (ZZSK) z niezadowalającą odpowiedzią na co najmniej dwa niesteroidowe leki przeciwzapalne (NLPZ). </w:t>
            </w:r>
          </w:p>
          <w:p w14:paraId="32281C5C" w14:textId="27B47BB5" w:rsidR="00F81D5E" w:rsidRPr="007729FC" w:rsidRDefault="00D571E2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K</w:t>
            </w:r>
            <w:r w:rsidRPr="00F539FB">
              <w:rPr>
                <w:rFonts w:ascii="Lato" w:hAnsi="Lato" w:cstheme="majorHAnsi"/>
                <w:color w:val="000000"/>
                <w:sz w:val="18"/>
                <w:szCs w:val="18"/>
              </w:rPr>
              <w:t>olejny lek biologiczny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programie B.36. </w:t>
            </w:r>
            <w:proofErr w:type="spellStart"/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>Bimekizumab</w:t>
            </w:r>
            <w:proofErr w:type="spellEnd"/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jest humanizowanym przeciwciałem monoklonalnym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wiążącym</w:t>
            </w:r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si</w:t>
            </w:r>
            <w:r w:rsidRPr="00D571E2">
              <w:rPr>
                <w:rFonts w:ascii="Lato" w:hAnsi="Lato" w:cs="Lato"/>
                <w:color w:val="000000"/>
                <w:sz w:val="18"/>
                <w:szCs w:val="18"/>
              </w:rPr>
              <w:t>ę</w:t>
            </w:r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wybi</w:t>
            </w:r>
            <w:r w:rsidRPr="00D571E2">
              <w:rPr>
                <w:rFonts w:ascii="Lato" w:hAnsi="Lato" w:cs="Lato"/>
                <w:color w:val="000000"/>
                <w:sz w:val="18"/>
                <w:szCs w:val="18"/>
              </w:rPr>
              <w:t>ó</w:t>
            </w:r>
            <w:r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>rczo i z wysokim powinowactwem z cytokinami IL-17A, IL-17F i IL-17AF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F81D5E" w:rsidRPr="004D093B" w14:paraId="09C1FA13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C9398" w14:textId="6E7E7658" w:rsidR="00F81D5E" w:rsidRPr="004D093B" w:rsidRDefault="008378F3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lastRenderedPageBreak/>
              <w:t>5.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7048A" w14:textId="1EB80D0B" w:rsidR="00F81D5E" w:rsidRPr="005558C1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558C1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Tezspire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5DF32" w14:textId="15D92E93" w:rsidR="00F81D5E" w:rsidRPr="005558C1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5558C1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tezepelumab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082CB" w14:textId="47DC6D22" w:rsidR="00F81D5E" w:rsidRPr="005558C1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5558C1">
              <w:rPr>
                <w:rFonts w:ascii="Lato" w:hAnsi="Lato" w:cstheme="majorHAnsi"/>
                <w:color w:val="000000"/>
                <w:sz w:val="18"/>
                <w:szCs w:val="18"/>
              </w:rPr>
              <w:t>B.44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66284" w14:textId="6E537FE0" w:rsidR="00F81D5E" w:rsidRPr="005558C1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5558C1">
              <w:rPr>
                <w:rFonts w:ascii="Lato" w:hAnsi="Lato" w:cstheme="majorHAnsi"/>
                <w:color w:val="000000"/>
                <w:sz w:val="18"/>
                <w:szCs w:val="18"/>
              </w:rPr>
              <w:t>LECZENIE CHORYCH Z CIĘŻKĄ POSTACIĄ ASTMY (ICD-10: J45, J82)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2158" w14:textId="745EA315" w:rsidR="00F81D5E" w:rsidRPr="005558C1" w:rsidRDefault="00F81D5E" w:rsidP="00F81D5E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5558C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Leczenie ciężkiej astmy </w:t>
            </w:r>
            <w:proofErr w:type="spellStart"/>
            <w:r w:rsidRPr="005558C1">
              <w:rPr>
                <w:rFonts w:ascii="Lato" w:hAnsi="Lato" w:cstheme="majorHAnsi"/>
                <w:color w:val="000000"/>
                <w:sz w:val="18"/>
                <w:szCs w:val="18"/>
              </w:rPr>
              <w:t>tezepelumabem</w:t>
            </w:r>
            <w:proofErr w:type="spellEnd"/>
            <w:r w:rsidRPr="005558C1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u pacjentów od 12 r.ż. (przeciwciało monoklonalne (IgG2</w:t>
            </w:r>
            <w:r w:rsidRPr="005558C1">
              <w:rPr>
                <w:rFonts w:cs="Calibri"/>
                <w:color w:val="000000"/>
                <w:sz w:val="18"/>
                <w:szCs w:val="18"/>
              </w:rPr>
              <w:t>λ</w:t>
            </w:r>
            <w:r w:rsidRPr="005558C1">
              <w:rPr>
                <w:rFonts w:ascii="Lato" w:hAnsi="Lato" w:cstheme="majorHAnsi"/>
                <w:color w:val="000000"/>
                <w:sz w:val="18"/>
                <w:szCs w:val="18"/>
              </w:rPr>
              <w:t>).</w:t>
            </w:r>
          </w:p>
        </w:tc>
      </w:tr>
      <w:tr w:rsidR="008378F3" w:rsidRPr="004D093B" w14:paraId="0B5BFEE3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B1F79" w14:textId="7D8FF1A1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345FE" w14:textId="7F9FB4E4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81255E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produkty handlowe</w:t>
            </w: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0DD5E" w14:textId="2CEB7DF3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ry</w:t>
            </w:r>
            <w:r w:rsidRPr="00E25417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tu</w:t>
            </w: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ksy</w:t>
            </w:r>
            <w:r w:rsidRPr="00E25417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92C8C" w14:textId="614B9523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B.75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EE90D" w14:textId="2BA552F5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E25417">
              <w:rPr>
                <w:rFonts w:ascii="Lato" w:hAnsi="Lato" w:cstheme="majorHAnsi"/>
                <w:color w:val="000000"/>
                <w:sz w:val="18"/>
                <w:szCs w:val="18"/>
              </w:rPr>
              <w:t>LECZENIE PACJENTÓW Z UKŁADOWYMI ZAPALENIAMI NACZYŃ (ICD-10: M31.3, M31.5, M31.6, M31.7, M31.8)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C426C" w14:textId="77777777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Leczenie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rytuksymabem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pacjentów 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nieciężką postacią </w:t>
            </w:r>
            <w:proofErr w:type="spellStart"/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>ziarniniakowatości</w:t>
            </w:r>
            <w:proofErr w:type="spellEnd"/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zapaleniem naczyń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>(GPA) lub mikroskopow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ego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zapaleni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a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naczyń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>(MPA)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27005F">
              <w:rPr>
                <w:rFonts w:ascii="Lato" w:hAnsi="Lato" w:cstheme="majorHAnsi"/>
                <w:color w:val="000000"/>
                <w:sz w:val="18"/>
                <w:szCs w:val="18"/>
              </w:rPr>
              <w:t>po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27005F">
              <w:rPr>
                <w:rFonts w:ascii="Lato" w:hAnsi="Lato" w:cstheme="majorHAnsi"/>
                <w:color w:val="000000"/>
                <w:sz w:val="18"/>
                <w:szCs w:val="18"/>
              </w:rPr>
              <w:t>niepowodzeniu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27005F">
              <w:rPr>
                <w:rFonts w:ascii="Lato" w:hAnsi="Lato" w:cstheme="majorHAnsi"/>
                <w:color w:val="000000"/>
                <w:sz w:val="18"/>
                <w:szCs w:val="18"/>
              </w:rPr>
              <w:t>terapii co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27005F">
              <w:rPr>
                <w:rFonts w:ascii="Lato" w:hAnsi="Lato" w:cstheme="majorHAnsi"/>
                <w:color w:val="000000"/>
                <w:sz w:val="18"/>
                <w:szCs w:val="18"/>
              </w:rPr>
              <w:t>najmniej jednym lekiem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27005F">
              <w:rPr>
                <w:rFonts w:ascii="Lato" w:hAnsi="Lato" w:cstheme="majorHAnsi"/>
                <w:color w:val="000000"/>
                <w:sz w:val="18"/>
                <w:szCs w:val="18"/>
              </w:rPr>
              <w:t>modyfikującym przebieg choroby/ lekiem immunosupresyjnym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</w:t>
            </w:r>
          </w:p>
          <w:p w14:paraId="543CCC4D" w14:textId="77777777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197FA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(Wskazanie off-</w:t>
            </w:r>
            <w:proofErr w:type="spellStart"/>
            <w:r w:rsidRPr="00197FA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label</w:t>
            </w:r>
            <w:proofErr w:type="spellEnd"/>
            <w:r w:rsidRPr="00197FA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566F6AAB" w14:textId="3B76801D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97FA2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(Choroba rzadka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378F3" w:rsidRPr="004D093B" w14:paraId="28C72799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2FA74" w14:textId="23DF566D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F3624" w14:textId="2850B8B6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81255E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produkty handlowe</w:t>
            </w:r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CE29C" w14:textId="3BCAE9A5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t</w:t>
            </w:r>
            <w:r w:rsidRPr="00E25417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ocilizumab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E6B37" w14:textId="72723C60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B.75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3F013" w14:textId="23831C1F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E25417">
              <w:rPr>
                <w:rFonts w:ascii="Lato" w:hAnsi="Lato" w:cstheme="majorHAnsi"/>
                <w:color w:val="000000"/>
                <w:sz w:val="18"/>
                <w:szCs w:val="18"/>
              </w:rPr>
              <w:t>LECZENIE PACJENTÓW Z UKŁADOWYMI ZAPALENIAMI NACZYŃ (ICD-10: M31.3, M31.5, M31.6, M31.7, M31.8)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AA4CE" w14:textId="77777777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Leczenie tocilizumabem podawanym dożylnie pacjentów z olbrzymiokomórkowym zapaleniem tętnic (GCA).</w:t>
            </w:r>
          </w:p>
          <w:p w14:paraId="19F160FC" w14:textId="77777777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197FA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(Wskazanie off-</w:t>
            </w:r>
            <w:proofErr w:type="spellStart"/>
            <w:r w:rsidRPr="00197FA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label</w:t>
            </w:r>
            <w:proofErr w:type="spellEnd"/>
            <w:r w:rsidRPr="00197FA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)</w:t>
            </w:r>
          </w:p>
          <w:p w14:paraId="688DF399" w14:textId="5C22579F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97FA2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(Choroba rzadka</w:t>
            </w:r>
            <w:r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8378F3" w:rsidRPr="004D093B" w14:paraId="1F31F3CA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F7FC6" w14:textId="7F22E386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5A7A5" w14:textId="66368DEE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B21BB">
              <w:rPr>
                <w:rFonts w:ascii="Lato" w:hAnsi="Lato" w:cstheme="majorHAnsi"/>
                <w:b/>
                <w:bCs/>
                <w:sz w:val="18"/>
                <w:szCs w:val="18"/>
              </w:rPr>
              <w:t>Bimzelx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D412E" w14:textId="55EFCCCF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sz w:val="18"/>
                <w:szCs w:val="18"/>
              </w:rPr>
              <w:t>b</w:t>
            </w:r>
            <w:r w:rsidRPr="001B21BB">
              <w:rPr>
                <w:rFonts w:ascii="Lato" w:hAnsi="Lato" w:cstheme="majorHAnsi"/>
                <w:i/>
                <w:iCs/>
                <w:sz w:val="18"/>
                <w:szCs w:val="18"/>
              </w:rPr>
              <w:t>imekizumab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A4C30" w14:textId="6B9109DF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B.82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9BC69" w14:textId="3634A6B3" w:rsidR="008378F3" w:rsidRPr="00635F4F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B21BB">
              <w:rPr>
                <w:rFonts w:ascii="Lato" w:hAnsi="Lato" w:cstheme="majorHAnsi"/>
                <w:color w:val="000000"/>
                <w:sz w:val="18"/>
                <w:szCs w:val="18"/>
              </w:rPr>
              <w:t>LECZENIE PACJENTÓW Z AKTYWNĄ POSTACIĄ SPONDYLOARTROPATII (</w:t>
            </w:r>
            <w:proofErr w:type="spellStart"/>
            <w:r w:rsidRPr="001B21BB">
              <w:rPr>
                <w:rFonts w:ascii="Lato" w:hAnsi="Lato" w:cstheme="majorHAnsi"/>
                <w:color w:val="000000"/>
                <w:sz w:val="18"/>
                <w:szCs w:val="18"/>
              </w:rPr>
              <w:t>SpA</w:t>
            </w:r>
            <w:proofErr w:type="spellEnd"/>
            <w:r w:rsidRPr="001B21BB">
              <w:rPr>
                <w:rFonts w:ascii="Lato" w:hAnsi="Lato" w:cstheme="majorHAnsi"/>
                <w:color w:val="000000"/>
                <w:sz w:val="18"/>
                <w:szCs w:val="18"/>
              </w:rPr>
              <w:t>) BEZ ZMIAN RADIOGRAFICZNYCH CHARAKTERYSTYCZNYCH DLA ZZSK (ICD-10: M46.8)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360C8" w14:textId="77777777" w:rsidR="00D571E2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Leczenie pacjentów z aktywną postacią </w:t>
            </w:r>
            <w:proofErr w:type="spellStart"/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>spondyloartropatii</w:t>
            </w:r>
            <w:proofErr w:type="spellEnd"/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>SpA</w:t>
            </w:r>
            <w:proofErr w:type="spellEnd"/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) bez zmian radiograficznych charakterystycznych dla ZZSK (ICD-10: M46.8) po niepowodzeniu terapii opartych o niesteroidowe leki przeciwzapalne (NLPZ), </w:t>
            </w:r>
            <w:proofErr w:type="spellStart"/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>glikokortykosteroidy</w:t>
            </w:r>
            <w:proofErr w:type="spellEnd"/>
            <w:r w:rsidRPr="00DD49D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(GKS) i klasyczne leki modyfikujące przebieg choroby, w postaci osiowej i obwodowej. </w:t>
            </w:r>
          </w:p>
          <w:p w14:paraId="764DBBFE" w14:textId="781E6B16" w:rsidR="008378F3" w:rsidRPr="007729FC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K</w:t>
            </w:r>
            <w:r w:rsidRPr="00F539FB">
              <w:rPr>
                <w:rFonts w:ascii="Lato" w:hAnsi="Lato" w:cstheme="majorHAnsi"/>
                <w:color w:val="000000"/>
                <w:sz w:val="18"/>
                <w:szCs w:val="18"/>
              </w:rPr>
              <w:t>olejny lek biologiczny</w:t>
            </w:r>
            <w:r w:rsid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programie B.82. </w:t>
            </w:r>
            <w:proofErr w:type="spellStart"/>
            <w:r w:rsidR="00D571E2"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>Bimekizumab</w:t>
            </w:r>
            <w:proofErr w:type="spellEnd"/>
            <w:r w:rsidR="00D571E2"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jest humanizowanym przeciwciałem monoklonalnym</w:t>
            </w:r>
            <w:r w:rsid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wiążącym</w:t>
            </w:r>
            <w:r w:rsidR="00D571E2"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si</w:t>
            </w:r>
            <w:r w:rsidR="00D571E2" w:rsidRPr="00D571E2">
              <w:rPr>
                <w:rFonts w:ascii="Lato" w:hAnsi="Lato" w:cs="Lato"/>
                <w:color w:val="000000"/>
                <w:sz w:val="18"/>
                <w:szCs w:val="18"/>
              </w:rPr>
              <w:t>ę</w:t>
            </w:r>
            <w:r w:rsidR="00D571E2"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wybi</w:t>
            </w:r>
            <w:r w:rsidR="00D571E2" w:rsidRPr="00D571E2">
              <w:rPr>
                <w:rFonts w:ascii="Lato" w:hAnsi="Lato" w:cs="Lato"/>
                <w:color w:val="000000"/>
                <w:sz w:val="18"/>
                <w:szCs w:val="18"/>
              </w:rPr>
              <w:t>ó</w:t>
            </w:r>
            <w:r w:rsidR="00D571E2"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>rczo i z wysokim powinowactwem z cytokinami IL-17A, IL-17F i IL-17AF</w:t>
            </w:r>
            <w:r w:rsidR="00D571E2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8378F3" w:rsidRPr="004D093B" w14:paraId="5C1FF5AC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9FC7" w14:textId="4CCAB571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6492" w14:textId="7D5D5701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Evrysdi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5EF43" w14:textId="00DFC910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rysdyplam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895FD" w14:textId="45244524" w:rsidR="008378F3" w:rsidRPr="00496AA9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B.102.FM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ECAAD" w14:textId="0B1ED1AA" w:rsidR="008378F3" w:rsidRPr="00496AA9" w:rsidRDefault="008378F3" w:rsidP="008378F3">
            <w:pPr>
              <w:tabs>
                <w:tab w:val="left" w:pos="5865"/>
              </w:tabs>
              <w:spacing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8B0B86">
              <w:rPr>
                <w:rFonts w:ascii="Lato" w:hAnsi="Lato" w:cstheme="majorHAnsi"/>
                <w:color w:val="000000"/>
                <w:sz w:val="18"/>
                <w:szCs w:val="18"/>
              </w:rPr>
              <w:t>LECZENIE CHORYCH NA RDZENIOWY ZANIK MIĘŚNI (ICD-10: G12.0, G12.1)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E151A" w14:textId="77777777" w:rsidR="008378F3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Rozszerzona populacja </w:t>
            </w:r>
            <w:r w:rsidRPr="008B0B86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o pacjentów bez ograniczenia wiekowego oraz bez przeciwwskazań do terapii </w:t>
            </w:r>
            <w:proofErr w:type="spellStart"/>
            <w:r w:rsidRPr="008B0B86">
              <w:rPr>
                <w:rFonts w:ascii="Lato" w:hAnsi="Lato" w:cstheme="majorHAnsi"/>
                <w:color w:val="000000"/>
                <w:sz w:val="18"/>
                <w:szCs w:val="18"/>
              </w:rPr>
              <w:t>nusinersenem</w:t>
            </w:r>
            <w:proofErr w:type="spellEnd"/>
            <w:r w:rsidRPr="008B0B86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(dotychczas od 2 mies. życia dla pacjentów, u których stwierdzono przeciwwskazania)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  <w:p w14:paraId="4872186D" w14:textId="4E021C6F" w:rsidR="008378F3" w:rsidRPr="00F81D5E" w:rsidRDefault="008378F3" w:rsidP="008378F3">
            <w:pPr>
              <w:widowControl w:val="0"/>
              <w:suppressAutoHyphens w:val="0"/>
              <w:autoSpaceDE w:val="0"/>
              <w:adjustRightInd w:val="0"/>
              <w:spacing w:after="60" w:line="276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8B0B86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(Choroba rzadka)</w:t>
            </w:r>
          </w:p>
        </w:tc>
      </w:tr>
      <w:tr w:rsidR="008378F3" w:rsidRPr="004D093B" w14:paraId="5ED86F3E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9B444" w14:textId="1F684EC5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lastRenderedPageBreak/>
              <w:t>10.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55631" w14:textId="1079B0E7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sz w:val="18"/>
                <w:szCs w:val="18"/>
              </w:rPr>
            </w:pPr>
            <w:proofErr w:type="spellStart"/>
            <w:r w:rsidRPr="00086D98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Nucala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6633" w14:textId="27845733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m</w:t>
            </w:r>
            <w:r w:rsidRPr="00086D98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epolizumab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5888C" w14:textId="1B120BBB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B.156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42A6A" w14:textId="1E58D45C" w:rsidR="008378F3" w:rsidRPr="004D093B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086D98">
              <w:rPr>
                <w:rFonts w:ascii="Lato" w:hAnsi="Lato" w:cstheme="majorHAnsi"/>
                <w:color w:val="000000"/>
                <w:sz w:val="18"/>
                <w:szCs w:val="18"/>
              </w:rPr>
              <w:t>LECZENIE CHORYCH Z ZAPALENIEM NOSA I ZATOK PRZYNOSOWYCH Z POLIPAMI NOSA (ICD-10: J32, J33)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66EB" w14:textId="77777777" w:rsidR="002670F5" w:rsidRDefault="008378F3" w:rsidP="008378F3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086D98">
              <w:rPr>
                <w:rFonts w:ascii="Lato" w:hAnsi="Lato" w:cstheme="majorHAnsi"/>
                <w:color w:val="000000"/>
                <w:sz w:val="18"/>
                <w:szCs w:val="18"/>
              </w:rPr>
              <w:t>W leczeniu dorosłych pacjentów na ciężkie, przewlekłe zapalenie nosa i zatok przynosowych z polipami nosa (</w:t>
            </w:r>
            <w:proofErr w:type="spellStart"/>
            <w:r w:rsidRPr="00086D98">
              <w:rPr>
                <w:rFonts w:ascii="Lato" w:hAnsi="Lato" w:cstheme="majorHAnsi"/>
                <w:color w:val="000000"/>
                <w:sz w:val="18"/>
                <w:szCs w:val="18"/>
              </w:rPr>
              <w:t>PZZPzPN</w:t>
            </w:r>
            <w:proofErr w:type="spellEnd"/>
            <w:r w:rsidRPr="00086D98">
              <w:rPr>
                <w:rFonts w:ascii="Lato" w:hAnsi="Lato" w:cstheme="majorHAnsi"/>
                <w:color w:val="000000"/>
                <w:sz w:val="18"/>
                <w:szCs w:val="18"/>
              </w:rPr>
              <w:t>) z potwierdzonym zapaleniem typu 2, u których leczenie ogólnoustrojowymi kortykosteroidami i przebyt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e </w:t>
            </w:r>
            <w:r w:rsidRPr="00086D98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co najmniej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</w:t>
            </w:r>
            <w:r w:rsidRPr="00086D98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zabieg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i</w:t>
            </w:r>
            <w:r w:rsidRPr="00086D98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operacyjn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e</w:t>
            </w:r>
            <w:r w:rsidRPr="00086D98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zatok (lub przeciwwskazania do zabiegu) nie zapewniają kontroli choroby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</w:t>
            </w:r>
          </w:p>
          <w:p w14:paraId="790C1040" w14:textId="73A2CDE3" w:rsidR="00D571E2" w:rsidRPr="004D093B" w:rsidRDefault="008378F3" w:rsidP="00D571E2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K</w:t>
            </w:r>
            <w:r w:rsidRPr="00F41E16">
              <w:rPr>
                <w:rFonts w:ascii="Lato" w:hAnsi="Lato" w:cstheme="majorHAnsi"/>
                <w:color w:val="000000"/>
                <w:sz w:val="18"/>
                <w:szCs w:val="18"/>
              </w:rPr>
              <w:t>olejny lek biologiczny</w:t>
            </w:r>
            <w:r w:rsidR="002670F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</w:t>
            </w:r>
            <w:r w:rsidR="0061137F">
              <w:rPr>
                <w:rFonts w:ascii="Lato" w:hAnsi="Lato" w:cstheme="majorHAnsi"/>
                <w:color w:val="000000"/>
                <w:sz w:val="18"/>
                <w:szCs w:val="18"/>
              </w:rPr>
              <w:t>programie B.156.</w:t>
            </w:r>
            <w:r w:rsid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571E2"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>Mepolizumab</w:t>
            </w:r>
            <w:proofErr w:type="spellEnd"/>
            <w:r w:rsidR="00D571E2" w:rsidRPr="00D571E2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jest humanizowanym przeciwciałem monoklonalnym przeciwko ludzkiej interleukinie 5</w:t>
            </w:r>
            <w:r w:rsidR="00D571E2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5558C1" w:rsidRPr="004D093B" w14:paraId="5CE97390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6F555" w14:textId="58A8AFEB" w:rsidR="005558C1" w:rsidRPr="004D093B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89EF" w14:textId="23A66596" w:rsidR="005558C1" w:rsidRPr="004D093B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Cablivi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5750" w14:textId="4193FD8A" w:rsidR="005558C1" w:rsidRPr="004D093B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kaplacyzumab</w:t>
            </w:r>
            <w:proofErr w:type="spellEnd"/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86876" w14:textId="2CAB55BD" w:rsidR="005558C1" w:rsidRPr="004D093B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B.164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C4CE2" w14:textId="71CC78FB" w:rsidR="005558C1" w:rsidRPr="004D093B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0D7277">
              <w:rPr>
                <w:rFonts w:ascii="Lato" w:hAnsi="Lato" w:cstheme="majorHAnsi"/>
                <w:color w:val="000000"/>
                <w:sz w:val="18"/>
                <w:szCs w:val="18"/>
              </w:rPr>
              <w:t>LECZENIE PACJENTÓW Z IMMUNOLOGICZNĄ ZAKRZEPOWĄ PLAMICĄ MAŁOPŁYTKOWĄ (ICD-10: M31.1)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A292C" w14:textId="77777777" w:rsidR="005558C1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Leczenie pacjentów dorosłych oraz młodzieży powyżej 12 roku życia o masie ciała przynajmniej 40 kg z epizodem nabytej zakrzepowej plamicy małopłytkowej. </w:t>
            </w:r>
          </w:p>
          <w:p w14:paraId="0AFE6806" w14:textId="541A5DB7" w:rsidR="005558C1" w:rsidRPr="004D093B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0D7277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</w:t>
            </w:r>
            <w:r w:rsidRPr="000D7277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horoba rzadka)</w:t>
            </w:r>
          </w:p>
        </w:tc>
      </w:tr>
      <w:tr w:rsidR="005558C1" w:rsidRPr="004D093B" w14:paraId="26F17574" w14:textId="77777777" w:rsidTr="009509F5">
        <w:trPr>
          <w:cantSplit/>
          <w:trHeight w:val="20"/>
        </w:trPr>
        <w:tc>
          <w:tcPr>
            <w:tcW w:w="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5581F" w14:textId="499B71B2" w:rsidR="005558C1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28903" w14:textId="39E9F362" w:rsidR="005558C1" w:rsidRPr="00496AA9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St</w:t>
            </w:r>
            <w:r w:rsidR="00713671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ensiq</w:t>
            </w:r>
            <w:proofErr w:type="spellEnd"/>
          </w:p>
        </w:tc>
        <w:tc>
          <w:tcPr>
            <w:tcW w:w="8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EF35C" w14:textId="4401A591" w:rsidR="005558C1" w:rsidRPr="00496AA9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asfotaza</w:t>
            </w:r>
            <w:proofErr w:type="spellEnd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 alfa</w:t>
            </w:r>
          </w:p>
        </w:tc>
        <w:tc>
          <w:tcPr>
            <w:tcW w:w="6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ADDE6" w14:textId="54972CF2" w:rsidR="005558C1" w:rsidRPr="00496AA9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B.165</w:t>
            </w:r>
          </w:p>
        </w:tc>
        <w:tc>
          <w:tcPr>
            <w:tcW w:w="1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F935A" w14:textId="4D992396" w:rsidR="005558C1" w:rsidRPr="00496AA9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7729FC">
              <w:rPr>
                <w:rFonts w:ascii="Lato" w:hAnsi="Lato" w:cstheme="majorHAnsi"/>
                <w:color w:val="000000"/>
                <w:sz w:val="18"/>
                <w:szCs w:val="18"/>
              </w:rPr>
              <w:t>LECZENIE CHORYCH Z OBJAWAMI KOSTNYMI W PRZEBIEGU HIPOFOSFATAZJI DZIECIĘCEJ (HPP) (ICD-10 E83.3)</w:t>
            </w:r>
          </w:p>
        </w:tc>
        <w:tc>
          <w:tcPr>
            <w:tcW w:w="16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7009F" w14:textId="77777777" w:rsidR="005558C1" w:rsidRDefault="005558C1" w:rsidP="005558C1">
            <w:pPr>
              <w:widowControl w:val="0"/>
              <w:suppressAutoHyphens w:val="0"/>
              <w:autoSpaceDE w:val="0"/>
              <w:adjustRightInd w:val="0"/>
              <w:spacing w:after="60" w:line="276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F81D5E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Leczenie dzieci i młodzieży z wrodzoną </w:t>
            </w:r>
            <w:proofErr w:type="spellStart"/>
            <w:r w:rsidRPr="00F81D5E">
              <w:rPr>
                <w:rFonts w:ascii="Lato" w:hAnsi="Lato" w:cstheme="majorHAnsi"/>
                <w:color w:val="000000"/>
                <w:sz w:val="18"/>
                <w:szCs w:val="18"/>
              </w:rPr>
              <w:t>hipofosfatazją</w:t>
            </w:r>
            <w:proofErr w:type="spellEnd"/>
            <w:r w:rsidRPr="00F81D5E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(HPP) w postaciach: niemowlęcych, dziecięcych bądź perinatalnych, potwierdzonych za pomocą odpowiednich testów i badań.</w:t>
            </w:r>
          </w:p>
          <w:p w14:paraId="5B74B285" w14:textId="4CDF800B" w:rsidR="005558C1" w:rsidRPr="00496AA9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8B0B86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(Choroba rzadka)</w:t>
            </w:r>
          </w:p>
        </w:tc>
      </w:tr>
    </w:tbl>
    <w:p w14:paraId="169C5300" w14:textId="3D4307A4" w:rsidR="004D093B" w:rsidRDefault="004D093B">
      <w:pPr>
        <w:suppressAutoHyphens w:val="0"/>
        <w:rPr>
          <w:rFonts w:ascii="Lato" w:hAnsi="Lato"/>
        </w:rPr>
      </w:pPr>
    </w:p>
    <w:p w14:paraId="1F54C01C" w14:textId="115AA7AD" w:rsidR="005558C1" w:rsidRDefault="005558C1">
      <w:pPr>
        <w:suppressAutoHyphens w:val="0"/>
        <w:rPr>
          <w:rFonts w:ascii="Lato" w:hAnsi="Lato"/>
        </w:rPr>
      </w:pPr>
      <w:r>
        <w:rPr>
          <w:rFonts w:ascii="Lato" w:hAnsi="Lato"/>
        </w:rPr>
        <w:br w:type="page"/>
      </w:r>
    </w:p>
    <w:tbl>
      <w:tblPr>
        <w:tblW w:w="5000" w:type="pct"/>
        <w:tblCellMar>
          <w:top w:w="113" w:type="dxa"/>
          <w:left w:w="10" w:type="dxa"/>
          <w:bottom w:w="113" w:type="dxa"/>
          <w:right w:w="10" w:type="dxa"/>
        </w:tblCellMar>
        <w:tblLook w:val="0000" w:firstRow="0" w:lastRow="0" w:firstColumn="0" w:lastColumn="0" w:noHBand="0" w:noVBand="0"/>
      </w:tblPr>
      <w:tblGrid>
        <w:gridCol w:w="640"/>
        <w:gridCol w:w="1645"/>
        <w:gridCol w:w="2504"/>
        <w:gridCol w:w="9199"/>
      </w:tblGrid>
      <w:tr w:rsidR="00A434EB" w:rsidRPr="004D093B" w14:paraId="0B833808" w14:textId="77777777" w:rsidTr="004D093B">
        <w:trPr>
          <w:cantSplit/>
          <w:trHeight w:val="20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B9EA6" w14:textId="428F8CF7" w:rsidR="00A434EB" w:rsidRPr="004D093B" w:rsidRDefault="00A434EB" w:rsidP="00A434EB">
            <w:pPr>
              <w:spacing w:before="60" w:after="60" w:line="240" w:lineRule="auto"/>
              <w:jc w:val="center"/>
              <w:rPr>
                <w:rFonts w:ascii="Lato" w:hAnsi="Lato" w:cstheme="majorHAnsi"/>
              </w:rPr>
            </w:pPr>
            <w:r w:rsidRPr="004D093B">
              <w:rPr>
                <w:rFonts w:ascii="Lato" w:hAnsi="Lato" w:cstheme="majorHAnsi"/>
                <w:b/>
                <w:bCs/>
                <w:color w:val="FFFFFF"/>
              </w:rPr>
              <w:lastRenderedPageBreak/>
              <w:t>Zmiany w programach lekowych i chemioterapii</w:t>
            </w:r>
          </w:p>
        </w:tc>
      </w:tr>
      <w:tr w:rsidR="00A434EB" w:rsidRPr="004D093B" w14:paraId="2BCC5E80" w14:textId="77777777" w:rsidTr="004D093B">
        <w:trPr>
          <w:cantSplit/>
          <w:trHeight w:val="20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385C7" w14:textId="77777777" w:rsidR="00A434EB" w:rsidRPr="004D093B" w:rsidRDefault="00A434EB" w:rsidP="00A434EB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00381" w14:textId="7E0E9907" w:rsidR="00A434EB" w:rsidRPr="004D093B" w:rsidRDefault="00A434EB" w:rsidP="00A434EB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Numer programu lekowego lub numeru załącznika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32808" w14:textId="70920D05" w:rsidR="00A434EB" w:rsidRPr="004D093B" w:rsidRDefault="00A434EB" w:rsidP="00A434EB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Nazwa programu lekowego lub załącznika chemioterapii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8F47" w14:textId="14B18ED3" w:rsidR="00A434EB" w:rsidRPr="004D093B" w:rsidRDefault="00A434EB" w:rsidP="00A434EB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Krótki opis zmian dokonanych w obrębie programu lekowego / załącznika chemioterapii</w:t>
            </w:r>
          </w:p>
        </w:tc>
      </w:tr>
      <w:tr w:rsidR="00007B52" w:rsidRPr="004D093B" w14:paraId="4128CDBA" w14:textId="77777777" w:rsidTr="005558C1">
        <w:trPr>
          <w:cantSplit/>
          <w:trHeight w:val="1006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36D18" w14:textId="78839AFA" w:rsidR="00007B52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1.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CF408" w14:textId="5ADCA0A7" w:rsidR="00007B52" w:rsidRPr="00007B52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B.15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AA73B" w14:textId="6B325371" w:rsidR="00007B52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 w:rsidRPr="00007B52"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ZAPOBIEGANIE KRWAWIENIOM U DZIECI Z HEMOFILIĄ A I B (ICD-10: D66, D67)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E517B" w14:textId="721B2359" w:rsidR="00007B52" w:rsidRPr="00B16509" w:rsidRDefault="00B16509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B1650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Ujednolicenie kryteriów kwalifikacji dla </w:t>
            </w:r>
            <w:proofErr w:type="spellStart"/>
            <w:r w:rsidRPr="00B16509">
              <w:rPr>
                <w:rFonts w:ascii="Lato" w:hAnsi="Lato" w:cstheme="majorHAnsi"/>
                <w:color w:val="000000"/>
                <w:sz w:val="18"/>
                <w:szCs w:val="18"/>
              </w:rPr>
              <w:t>emicizumabu</w:t>
            </w:r>
            <w:proofErr w:type="spellEnd"/>
            <w:r w:rsidRPr="00B1650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bez względu na moduł profilaktyki pierwotnej lub wtórnej. Dodanie zapisów o konieczności udokumentowania krwawień, które kwalifikują do leczenia </w:t>
            </w:r>
            <w:proofErr w:type="spellStart"/>
            <w:r w:rsidRPr="00B16509">
              <w:rPr>
                <w:rFonts w:ascii="Lato" w:hAnsi="Lato" w:cstheme="majorHAnsi"/>
                <w:color w:val="000000"/>
                <w:sz w:val="18"/>
                <w:szCs w:val="18"/>
              </w:rPr>
              <w:t>emicizuabem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oraz </w:t>
            </w:r>
            <w:r w:rsidRPr="00B1650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zapisu uprawniającego Zespół Koordynacyjny do zmiany </w:t>
            </w:r>
            <w:proofErr w:type="spellStart"/>
            <w:r w:rsidRPr="00B16509">
              <w:rPr>
                <w:rFonts w:ascii="Lato" w:hAnsi="Lato" w:cstheme="majorHAnsi"/>
                <w:color w:val="000000"/>
                <w:sz w:val="18"/>
                <w:szCs w:val="18"/>
              </w:rPr>
              <w:t>emicizumabu</w:t>
            </w:r>
            <w:proofErr w:type="spellEnd"/>
            <w:r w:rsidRPr="00B1650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na koncentrat czynnika krzepnięcia w przypadku nieskuteczności leczenia, wystąpienia </w:t>
            </w:r>
            <w:proofErr w:type="gramStart"/>
            <w:r w:rsidRPr="00B16509">
              <w:rPr>
                <w:rFonts w:ascii="Lato" w:hAnsi="Lato" w:cstheme="majorHAnsi"/>
                <w:color w:val="000000"/>
                <w:sz w:val="18"/>
                <w:szCs w:val="18"/>
              </w:rPr>
              <w:t>działań  niepożądanych</w:t>
            </w:r>
            <w:proofErr w:type="gramEnd"/>
            <w:r w:rsidRPr="00B1650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lub przeciwskazań do stosowania tego leku.</w:t>
            </w:r>
          </w:p>
        </w:tc>
      </w:tr>
      <w:tr w:rsidR="00007B52" w:rsidRPr="004D093B" w14:paraId="3AC35271" w14:textId="77777777" w:rsidTr="005558C1">
        <w:trPr>
          <w:cantSplit/>
          <w:trHeight w:val="836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4F855" w14:textId="6BDD71DD" w:rsidR="00007B52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2.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7D36E" w14:textId="6BE2A7B0" w:rsidR="00007B52" w:rsidRPr="00007B52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007B5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B.70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71B38" w14:textId="7148042B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LECZENIA PACJENTÓW Z CHOROBAMI SIATKÓWKI (ICD-10: H35.5, H36.0)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C21A4" w14:textId="282BD026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W związku z objęciem refundacją nowej prezentacji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afliberceptu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dawce 8 mg umożliwiającej wydłużenie odstępów między kolejnymi podaniami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doszklistkowymi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do 20 tygodni u pacjentów bez aktywności choroby, w obu częściach programu naniesiono odpowiednie uzupełnienia umożliwiające powyższą praktykę.</w:t>
            </w:r>
          </w:p>
        </w:tc>
      </w:tr>
      <w:tr w:rsidR="00007B52" w:rsidRPr="004D093B" w14:paraId="571B0832" w14:textId="77777777" w:rsidTr="004D093B">
        <w:trPr>
          <w:cantSplit/>
          <w:trHeight w:val="20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70F3C" w14:textId="29660DAB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3.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038BA" w14:textId="7EC5F08E" w:rsidR="00007B52" w:rsidRPr="00007B52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007B5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B.75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D1FCD" w14:textId="0AAA619D" w:rsidR="00007B52" w:rsidRPr="00A1146C" w:rsidRDefault="00007B52" w:rsidP="00007B52">
            <w:pPr>
              <w:pStyle w:val="Style2"/>
              <w:widowControl/>
              <w:spacing w:before="60" w:after="60"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 w:rsidRPr="0027005F"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LECZENIE PACJENTÓW Z UKŁADOWYMI ZAPALENIAMI NACZYŃ (ICD-10: M31.3, M31.5, M31.6, M31.7, M31.8)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F7869" w14:textId="4262B181" w:rsidR="00007B52" w:rsidRDefault="00007B52" w:rsidP="00007B52">
            <w:pPr>
              <w:suppressAutoHyphens w:val="0"/>
              <w:autoSpaceDE w:val="0"/>
              <w:adjustRightInd w:val="0"/>
              <w:spacing w:before="120" w:after="12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Kompleksowa modyfikacja programu lekowego B.75, w ramach której zmiany objęły m. in.:</w:t>
            </w:r>
          </w:p>
          <w:p w14:paraId="606B2CB5" w14:textId="77777777" w:rsidR="00007B52" w:rsidRDefault="00007B52" w:rsidP="00007B52">
            <w:pPr>
              <w:pStyle w:val="Akapitzlist"/>
              <w:numPr>
                <w:ilvl w:val="0"/>
                <w:numId w:val="40"/>
              </w:numPr>
              <w:suppressAutoHyphens w:val="0"/>
              <w:autoSpaceDE w:val="0"/>
              <w:adjustRightInd w:val="0"/>
              <w:spacing w:before="120" w:after="120" w:line="240" w:lineRule="auto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5217D">
              <w:rPr>
                <w:rFonts w:ascii="Lato" w:hAnsi="Lato" w:cstheme="majorHAnsi"/>
                <w:color w:val="000000"/>
                <w:sz w:val="18"/>
                <w:szCs w:val="18"/>
              </w:rPr>
              <w:t>rozszerzeni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e</w:t>
            </w:r>
            <w:r w:rsidRPr="0015217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populacji pacjentów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4F55EA">
              <w:rPr>
                <w:rFonts w:ascii="Lato" w:hAnsi="Lato" w:cstheme="majorHAnsi"/>
                <w:color w:val="000000"/>
                <w:sz w:val="18"/>
                <w:szCs w:val="18"/>
                <w:u w:val="single"/>
              </w:rPr>
              <w:t>z ciężką postacią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>ziarniniakowatości</w:t>
            </w:r>
            <w:proofErr w:type="spellEnd"/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zapaleniem naczyń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>(GPA) lub mikroskopow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ego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zapaleni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a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naczyń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>(MPA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) leczonych w ramach programu lekowego poprzez zmianę dostępności terapii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rytuksymabem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II na I lub kolejną linię leczenia,</w:t>
            </w:r>
          </w:p>
          <w:p w14:paraId="0A9F106C" w14:textId="77777777" w:rsidR="00007B52" w:rsidRDefault="00007B52" w:rsidP="00007B52">
            <w:pPr>
              <w:pStyle w:val="Akapitzlist"/>
              <w:numPr>
                <w:ilvl w:val="0"/>
                <w:numId w:val="40"/>
              </w:numPr>
              <w:suppressAutoHyphens w:val="0"/>
              <w:autoSpaceDE w:val="0"/>
              <w:adjustRightInd w:val="0"/>
              <w:spacing w:before="120" w:after="120" w:line="240" w:lineRule="auto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programu lekowego w zakresie leczenia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rytuksymabem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przez umożliwienie leczenia pacjentów z </w:t>
            </w:r>
            <w:r w:rsidRPr="004F55EA">
              <w:rPr>
                <w:rFonts w:ascii="Lato" w:hAnsi="Lato" w:cstheme="majorHAnsi"/>
                <w:color w:val="000000"/>
                <w:sz w:val="18"/>
                <w:szCs w:val="18"/>
                <w:u w:val="single"/>
              </w:rPr>
              <w:t>nieciężką postacią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>ziarniniakowatości</w:t>
            </w:r>
            <w:proofErr w:type="spellEnd"/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zapaleniem naczyń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>(GPA) lub mikroskopow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ego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zapaleni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a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naczyń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F76275">
              <w:rPr>
                <w:rFonts w:ascii="Lato" w:hAnsi="Lato" w:cstheme="majorHAnsi"/>
                <w:color w:val="000000"/>
                <w:sz w:val="18"/>
                <w:szCs w:val="18"/>
              </w:rPr>
              <w:t>(MPA)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II lub kolejnej linii leczenia,</w:t>
            </w:r>
          </w:p>
          <w:p w14:paraId="1345AB98" w14:textId="77777777" w:rsidR="00007B52" w:rsidRPr="004F55EA" w:rsidRDefault="00007B52" w:rsidP="00007B52">
            <w:pPr>
              <w:pStyle w:val="Akapitzlist"/>
              <w:numPr>
                <w:ilvl w:val="0"/>
                <w:numId w:val="40"/>
              </w:numPr>
              <w:suppressAutoHyphens w:val="0"/>
              <w:autoSpaceDE w:val="0"/>
              <w:adjustRightInd w:val="0"/>
              <w:spacing w:before="120" w:after="120" w:line="240" w:lineRule="auto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kryteriów oceny skuteczności leczenia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rytuksymabem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, w tym umożliwienie włączenia kolejnego cyklu leczenia </w:t>
            </w:r>
            <w:r w:rsidRPr="004F55EA">
              <w:rPr>
                <w:rFonts w:ascii="Lato" w:hAnsi="Lato" w:cstheme="majorHAnsi"/>
                <w:color w:val="000000"/>
                <w:sz w:val="18"/>
                <w:szCs w:val="18"/>
              </w:rPr>
              <w:t>indukcyjnego w przypadku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4F55EA">
              <w:rPr>
                <w:rFonts w:ascii="Lato" w:hAnsi="Lato" w:cstheme="majorHAnsi"/>
                <w:color w:val="000000"/>
                <w:sz w:val="18"/>
                <w:szCs w:val="18"/>
              </w:rPr>
              <w:t>nawrotu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4F55EA">
              <w:rPr>
                <w:rFonts w:ascii="Lato" w:hAnsi="Lato" w:cstheme="majorHAnsi"/>
                <w:color w:val="000000"/>
                <w:sz w:val="18"/>
                <w:szCs w:val="18"/>
              </w:rPr>
              <w:t>aktywnej postaci choroby w trakcie leczenia podtrzymującego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remisję choroby,</w:t>
            </w:r>
          </w:p>
          <w:p w14:paraId="198AAD37" w14:textId="77777777" w:rsidR="00007B52" w:rsidRDefault="00007B52" w:rsidP="00007B52">
            <w:pPr>
              <w:pStyle w:val="Akapitzlist"/>
              <w:numPr>
                <w:ilvl w:val="0"/>
                <w:numId w:val="40"/>
              </w:numPr>
              <w:suppressAutoHyphens w:val="0"/>
              <w:autoSpaceDE w:val="0"/>
              <w:adjustRightInd w:val="0"/>
              <w:spacing w:before="120" w:after="120" w:line="240" w:lineRule="auto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rozszerzenie programu lekowego o moduł umożliwiający leczenie pacjentów z olbrzymiokomórkowym zapaleniem tętnic (GCA) tocilizumabem podawanym dożylnie,</w:t>
            </w:r>
          </w:p>
          <w:p w14:paraId="4C89A20F" w14:textId="1573E0FB" w:rsidR="00007B52" w:rsidRPr="00350EAD" w:rsidRDefault="00007B52" w:rsidP="00007B52">
            <w:pPr>
              <w:pStyle w:val="Akapitzlist"/>
              <w:numPr>
                <w:ilvl w:val="0"/>
                <w:numId w:val="40"/>
              </w:numPr>
              <w:suppressAutoHyphens w:val="0"/>
              <w:autoSpaceDE w:val="0"/>
              <w:adjustRightInd w:val="0"/>
              <w:spacing w:before="120" w:after="120" w:line="240" w:lineRule="auto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zespołu koordynującego program lekowy na </w:t>
            </w:r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Zespół Koordynacyjny ds. Leczenia Biologicznego w Chorobach Reumatycznych</w:t>
            </w: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007B52" w:rsidRPr="004D093B" w14:paraId="7A36E28A" w14:textId="77777777" w:rsidTr="005558C1">
        <w:trPr>
          <w:cantSplit/>
          <w:trHeight w:val="56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89B07" w14:textId="4B271FA1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4.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059A5" w14:textId="2A0D5C60" w:rsidR="00007B52" w:rsidRPr="00007B52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007B5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C.93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C03C2" w14:textId="5D9D8A97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TRABECTEDIN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8E3C5" w14:textId="7FDABA23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kategorii dostępności refundacyjnej dla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trabektedyny</w:t>
            </w:r>
            <w:proofErr w:type="spellEnd"/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programu lekowego B.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8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do katalogu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br/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chemioterapii C.9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3.</w:t>
            </w:r>
          </w:p>
        </w:tc>
      </w:tr>
      <w:tr w:rsidR="00007B52" w:rsidRPr="004D093B" w14:paraId="47C22A79" w14:textId="77777777" w:rsidTr="005558C1">
        <w:trPr>
          <w:cantSplit/>
          <w:trHeight w:val="56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B2A21" w14:textId="36F53A68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5.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C116C" w14:textId="0523D784" w:rsidR="00007B52" w:rsidRPr="00007B52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007B5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C.94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5497B" w14:textId="4B0F8DBD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PANITUMUMAB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0C715" w14:textId="2EBD5AA3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kategorii dostępności refundacyjnej dla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panitumumabu</w:t>
            </w:r>
            <w:proofErr w:type="spellEnd"/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programu lekowego B.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4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do katalogu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br/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chemioterapii C.9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4.</w:t>
            </w:r>
          </w:p>
        </w:tc>
      </w:tr>
      <w:tr w:rsidR="00007B52" w:rsidRPr="004D093B" w14:paraId="7FE762B9" w14:textId="77777777" w:rsidTr="005558C1">
        <w:trPr>
          <w:cantSplit/>
          <w:trHeight w:val="56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40D5" w14:textId="78CE763A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6.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EC6B" w14:textId="314AE3ED" w:rsidR="00007B52" w:rsidRPr="00007B52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007B5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C.95.a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791D2" w14:textId="2116C43B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CETUXIMAB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21408" w14:textId="0172C9B4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kategorii dostępności refundacyjnej dla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cetuksymabu</w:t>
            </w:r>
            <w:proofErr w:type="spellEnd"/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programu lekowego B.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4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do katalogu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br/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chemioterapii C.9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5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a</w:t>
            </w:r>
          </w:p>
        </w:tc>
      </w:tr>
      <w:tr w:rsidR="00007B52" w:rsidRPr="004D093B" w14:paraId="2AEC9FC6" w14:textId="77777777" w:rsidTr="005558C1">
        <w:trPr>
          <w:cantSplit/>
          <w:trHeight w:val="56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753C7" w14:textId="239A9618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7.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5EEB5" w14:textId="2BB0AFB2" w:rsidR="00007B52" w:rsidRPr="00007B52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007B5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C.95.b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36182" w14:textId="34510713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CETUXIMAB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08435" w14:textId="238926DA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kategorii dostępności refundacyjnej dla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cetuksymabu</w:t>
            </w:r>
            <w:proofErr w:type="spellEnd"/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programu lekowego B.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52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do katalogu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br/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chemioterapii C.9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5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b</w:t>
            </w:r>
          </w:p>
        </w:tc>
      </w:tr>
      <w:tr w:rsidR="00007B52" w:rsidRPr="004D093B" w14:paraId="085204AD" w14:textId="77777777" w:rsidTr="005558C1">
        <w:trPr>
          <w:cantSplit/>
          <w:trHeight w:val="56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53F55" w14:textId="7C7CD67B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lastRenderedPageBreak/>
              <w:t>8.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B7107" w14:textId="5D2CDFA4" w:rsidR="00007B52" w:rsidRPr="00007B52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007B5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C.96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BE884" w14:textId="1D8C834D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 w:rsidRPr="001C0949"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LAPATINIB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3FB07" w14:textId="3295E9F4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kategorii dostępności refundacyjnej dla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lapatynibu</w:t>
            </w:r>
            <w:proofErr w:type="spellEnd"/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programu lekowego B.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9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do katalogu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br/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chemioterapii C.9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6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007B52" w:rsidRPr="004D093B" w14:paraId="58CBFDC4" w14:textId="77777777" w:rsidTr="005558C1">
        <w:trPr>
          <w:cantSplit/>
          <w:trHeight w:val="56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57CD7" w14:textId="5C3D1CA0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9.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3127C" w14:textId="3C3D0C55" w:rsidR="00007B52" w:rsidRPr="00007B52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007B5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C.97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8D25F" w14:textId="0D0EF8CA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 w:rsidRPr="001C0949"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CABAZITAXEL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B709C" w14:textId="126B240B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Zmiana kategorii dostępności refundacyjnej dla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kabazytakselu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z programu lekowego B.5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6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do katalogu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br/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chemiote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ra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pii C.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97.</w:t>
            </w:r>
          </w:p>
        </w:tc>
      </w:tr>
      <w:tr w:rsidR="00007B52" w:rsidRPr="004D093B" w14:paraId="3D76E4D2" w14:textId="77777777" w:rsidTr="005558C1">
        <w:trPr>
          <w:cantSplit/>
          <w:trHeight w:val="56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F6F3D" w14:textId="2F800E5A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10.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B46BC" w14:textId="3352787D" w:rsidR="00007B52" w:rsidRPr="00007B52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007B52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C.98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57064" w14:textId="0DF0459E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 w:rsidRPr="001C0949"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 xml:space="preserve">RADIUM (223RA) </w:t>
            </w:r>
            <w:r w:rsidR="005558C1"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br/>
            </w:r>
            <w:r w:rsidRPr="001C0949"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DICHLORIDE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57ADB" w14:textId="5914A3CE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kategorii dostępności refundacyjnej dla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dichlorku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radu-223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programu lekowego B.56. do katalogu 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br/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chemioterapii C.9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8</w:t>
            </w:r>
            <w:r w:rsidRPr="001C0949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007B52" w:rsidRPr="004D093B" w14:paraId="0BF0A3A0" w14:textId="77777777" w:rsidTr="005558C1">
        <w:trPr>
          <w:cantSplit/>
          <w:trHeight w:val="56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9BB20" w14:textId="5EB35F92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11.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C748C" w14:textId="3A930827" w:rsidR="00007B52" w:rsidRPr="00BF013B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781AD4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C.99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FE1FE" w14:textId="35AC9CC8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 w:rsidRPr="00781AD4"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AKSITINIB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C3E3" w14:textId="7DD666FF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kategorii dostępności refundacyjnej dla </w:t>
            </w:r>
            <w:proofErr w:type="spellStart"/>
            <w:proofErr w:type="gram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aksytynibu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</w:t>
            </w:r>
            <w:proofErr w:type="gramEnd"/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programu lekowego B.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10</w:t>
            </w:r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. do katalogu </w:t>
            </w:r>
            <w:r w:rsidR="005558C1">
              <w:rPr>
                <w:rFonts w:ascii="Lato" w:hAnsi="Lato" w:cstheme="majorHAnsi"/>
                <w:color w:val="000000"/>
                <w:sz w:val="18"/>
                <w:szCs w:val="18"/>
              </w:rPr>
              <w:br/>
            </w:r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>chemioterapii C.9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9</w:t>
            </w:r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007B52" w:rsidRPr="004D093B" w14:paraId="70CD1574" w14:textId="77777777" w:rsidTr="005558C1">
        <w:trPr>
          <w:cantSplit/>
          <w:trHeight w:val="56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7684B" w14:textId="36EB2FB6" w:rsidR="00007B52" w:rsidRPr="004D093B" w:rsidRDefault="00007B52" w:rsidP="00007B52">
            <w:pPr>
              <w:spacing w:before="60" w:after="60" w:line="240" w:lineRule="auto"/>
              <w:jc w:val="center"/>
              <w:rPr>
                <w:rFonts w:ascii="Lato" w:hAnsi="Lato" w:cstheme="majorHAnsi"/>
                <w:sz w:val="18"/>
                <w:szCs w:val="18"/>
              </w:rPr>
            </w:pPr>
            <w:r>
              <w:rPr>
                <w:rFonts w:ascii="Lato" w:hAnsi="Lato" w:cstheme="majorHAnsi"/>
                <w:sz w:val="18"/>
                <w:szCs w:val="18"/>
              </w:rPr>
              <w:t>12.</w:t>
            </w: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8F869" w14:textId="3C8B6524" w:rsidR="00007B52" w:rsidRPr="00BF013B" w:rsidRDefault="00007B52" w:rsidP="005558C1">
            <w:pPr>
              <w:spacing w:after="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C.100</w:t>
            </w:r>
          </w:p>
        </w:tc>
        <w:tc>
          <w:tcPr>
            <w:tcW w:w="8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EB508" w14:textId="4AB3F8FC" w:rsidR="00007B52" w:rsidRPr="00A1146C" w:rsidRDefault="00007B52" w:rsidP="005558C1">
            <w:pPr>
              <w:pStyle w:val="Style2"/>
              <w:widowControl/>
              <w:spacing w:line="240" w:lineRule="auto"/>
              <w:jc w:val="center"/>
              <w:rPr>
                <w:rFonts w:ascii="Lato" w:eastAsia="Calibri" w:hAnsi="Lato" w:cstheme="majorHAnsi"/>
                <w:sz w:val="18"/>
                <w:szCs w:val="18"/>
                <w:lang w:eastAsia="en-US"/>
              </w:rPr>
            </w:pPr>
            <w:r w:rsidRPr="00781AD4">
              <w:rPr>
                <w:rFonts w:ascii="Lato" w:eastAsia="Calibri" w:hAnsi="Lato" w:cstheme="majorHAnsi"/>
                <w:sz w:val="18"/>
                <w:szCs w:val="18"/>
                <w:lang w:eastAsia="en-US"/>
              </w:rPr>
              <w:t>TEMSIROLIMUS</w:t>
            </w:r>
          </w:p>
        </w:tc>
        <w:tc>
          <w:tcPr>
            <w:tcW w:w="3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3A211" w14:textId="5BB5BB57" w:rsidR="00007B52" w:rsidRPr="00A1146C" w:rsidRDefault="00007B52" w:rsidP="005558C1">
            <w:pPr>
              <w:suppressAutoHyphens w:val="0"/>
              <w:autoSpaceDE w:val="0"/>
              <w:adjustRightInd w:val="0"/>
              <w:spacing w:after="0" w:line="240" w:lineRule="auto"/>
              <w:jc w:val="center"/>
              <w:textAlignment w:val="auto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Zmiana kategorii dostępności refundacyjnej dla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temsirolimusu</w:t>
            </w:r>
            <w:proofErr w:type="spellEnd"/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z programu lekowego B.10. do katalogu </w:t>
            </w:r>
            <w:r w:rsidR="005558C1">
              <w:rPr>
                <w:rFonts w:ascii="Lato" w:hAnsi="Lato" w:cstheme="majorHAnsi"/>
                <w:color w:val="000000"/>
                <w:sz w:val="18"/>
                <w:szCs w:val="18"/>
              </w:rPr>
              <w:br/>
            </w:r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>chemioterapii C.</w:t>
            </w: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100</w:t>
            </w:r>
            <w:r w:rsidRPr="00781AD4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</w:tbl>
    <w:p w14:paraId="052EAE3A" w14:textId="77777777" w:rsidR="004D093B" w:rsidRDefault="004D093B">
      <w:pPr>
        <w:suppressAutoHyphens w:val="0"/>
        <w:rPr>
          <w:rFonts w:ascii="Lato" w:hAnsi="Lato"/>
          <w:b/>
          <w:bCs/>
          <w:color w:val="00B0F0"/>
          <w:sz w:val="28"/>
          <w:szCs w:val="28"/>
        </w:rPr>
      </w:pPr>
      <w:bookmarkStart w:id="1" w:name="_Hlk90283710"/>
      <w:r>
        <w:rPr>
          <w:rFonts w:ascii="Lato" w:hAnsi="Lato"/>
          <w:b/>
          <w:bCs/>
          <w:color w:val="00B0F0"/>
          <w:sz w:val="28"/>
          <w:szCs w:val="28"/>
        </w:rPr>
        <w:br w:type="page"/>
      </w:r>
    </w:p>
    <w:p w14:paraId="703841AA" w14:textId="36DADBCA" w:rsidR="0056748F" w:rsidRPr="004D093B" w:rsidRDefault="0056748F" w:rsidP="0056748F">
      <w:pPr>
        <w:jc w:val="center"/>
        <w:rPr>
          <w:rFonts w:ascii="Lato" w:hAnsi="Lato"/>
          <w:b/>
          <w:bCs/>
          <w:color w:val="00B0F0"/>
          <w:sz w:val="28"/>
          <w:szCs w:val="28"/>
        </w:rPr>
      </w:pPr>
      <w:r w:rsidRPr="004D093B">
        <w:rPr>
          <w:rFonts w:ascii="Lato" w:hAnsi="Lato"/>
          <w:b/>
          <w:bCs/>
          <w:color w:val="00B0F0"/>
          <w:sz w:val="28"/>
          <w:szCs w:val="28"/>
        </w:rPr>
        <w:lastRenderedPageBreak/>
        <w:t>NOWE WSKAZANIA ORAZ ZMIANY W REFUNDACJI APTECZNEJ</w:t>
      </w:r>
    </w:p>
    <w:tbl>
      <w:tblPr>
        <w:tblW w:w="5000" w:type="pct"/>
        <w:tblCellMar>
          <w:top w:w="57" w:type="dxa"/>
          <w:left w:w="10" w:type="dxa"/>
          <w:bottom w:w="57" w:type="dxa"/>
          <w:right w:w="10" w:type="dxa"/>
        </w:tblCellMar>
        <w:tblLook w:val="0000" w:firstRow="0" w:lastRow="0" w:firstColumn="0" w:lastColumn="0" w:noHBand="0" w:noVBand="0"/>
      </w:tblPr>
      <w:tblGrid>
        <w:gridCol w:w="671"/>
        <w:gridCol w:w="1363"/>
        <w:gridCol w:w="1964"/>
        <w:gridCol w:w="6644"/>
        <w:gridCol w:w="3346"/>
      </w:tblGrid>
      <w:tr w:rsidR="00AD08C5" w:rsidRPr="004D093B" w14:paraId="2CD1B9F9" w14:textId="77777777" w:rsidTr="004D093B">
        <w:trPr>
          <w:cantSplit/>
          <w:trHeight w:val="549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4C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7E891" w14:textId="77777777" w:rsidR="00AD08C5" w:rsidRPr="004D093B" w:rsidRDefault="006A7DCE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FFFFFF"/>
              </w:rPr>
            </w:pPr>
            <w:bookmarkStart w:id="2" w:name="_Hlk161127618"/>
            <w:bookmarkEnd w:id="1"/>
            <w:r w:rsidRPr="004D093B">
              <w:rPr>
                <w:rFonts w:ascii="Lato" w:hAnsi="Lato" w:cstheme="majorHAnsi"/>
                <w:b/>
                <w:bCs/>
                <w:color w:val="FFFFFF"/>
              </w:rPr>
              <w:t>Apteka</w:t>
            </w:r>
          </w:p>
        </w:tc>
      </w:tr>
      <w:tr w:rsidR="00AD08C5" w:rsidRPr="004D093B" w14:paraId="7C1774EA" w14:textId="77777777" w:rsidTr="004D093B">
        <w:trPr>
          <w:cantSplit/>
          <w:trHeight w:val="328"/>
        </w:trPr>
        <w:tc>
          <w:tcPr>
            <w:tcW w:w="5000" w:type="pct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86140" w14:textId="77777777" w:rsidR="00AD08C5" w:rsidRPr="004D093B" w:rsidRDefault="006A7DCE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FFFFFF"/>
              </w:rPr>
            </w:pPr>
            <w:r w:rsidRPr="004D093B">
              <w:rPr>
                <w:rFonts w:ascii="Lato" w:hAnsi="Lato" w:cstheme="majorHAnsi"/>
                <w:b/>
                <w:bCs/>
                <w:color w:val="FFFFFF"/>
              </w:rPr>
              <w:t>Nowe wskazania refundacyjne</w:t>
            </w:r>
          </w:p>
        </w:tc>
      </w:tr>
      <w:tr w:rsidR="0056748F" w:rsidRPr="004D093B" w14:paraId="7D53B9E1" w14:textId="77777777" w:rsidTr="00143B25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3CB4" w14:textId="77777777" w:rsidR="00AD08C5" w:rsidRPr="004D093B" w:rsidRDefault="006A7DCE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E9D6E" w14:textId="2B67067F" w:rsidR="00AD08C5" w:rsidRPr="004D093B" w:rsidRDefault="00A118F0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  <w:t>Nazwa leku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A6F35" w14:textId="77777777" w:rsidR="00AD08C5" w:rsidRPr="004D093B" w:rsidRDefault="006A7DCE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  <w:t>Substancja czynna</w:t>
            </w:r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33D3" w14:textId="77777777" w:rsidR="00AD08C5" w:rsidRPr="004D093B" w:rsidRDefault="006A7DCE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  <w:t>Wskazanie refundacyjne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7E8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5EAF7" w14:textId="77777777" w:rsidR="00AD08C5" w:rsidRPr="004D093B" w:rsidRDefault="006A7DCE" w:rsidP="007B043E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</w:pPr>
            <w:r w:rsidRPr="004D093B">
              <w:rPr>
                <w:rFonts w:ascii="Lato" w:hAnsi="Lato" w:cstheme="majorHAnsi"/>
                <w:b/>
                <w:bCs/>
                <w:color w:val="000000"/>
                <w:sz w:val="19"/>
                <w:szCs w:val="19"/>
              </w:rPr>
              <w:t>Doprecyzowanie wskazania</w:t>
            </w:r>
          </w:p>
        </w:tc>
      </w:tr>
      <w:tr w:rsidR="00143B25" w:rsidRPr="004D093B" w14:paraId="3E62A70D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ED6C4" w14:textId="691231CF" w:rsidR="00143B25" w:rsidRPr="004D093B" w:rsidRDefault="00350EAD" w:rsidP="00143B2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1D194" w14:textId="745DA372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Efluelda</w:t>
            </w:r>
            <w:proofErr w:type="spellEnd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 xml:space="preserve"> Tetra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F354" w14:textId="47544F8A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czterowalentna</w:t>
            </w:r>
            <w:proofErr w:type="spellEnd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 szczepionka przeciw grypie (rozszczepiony </w:t>
            </w: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wirion</w:t>
            </w:r>
            <w:proofErr w:type="spellEnd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), inaktywowana</w:t>
            </w:r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0D22F" w14:textId="087C362E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We wszystkich zarejestrowanych wskazaniach na dzień wydania decyzji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C0182" w14:textId="20373C68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Szczepionka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Efluelda</w:t>
            </w:r>
            <w:proofErr w:type="spellEnd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jest wskazana do czynnego uodpornienia osób dorosłych w wieku 60 lat i starszych w zapobieganiu grypie. Zastosowanie szczepionki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Efluelda</w:t>
            </w:r>
            <w:proofErr w:type="spellEnd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powinno być zgodne z oficjalnymi zaleceniami dotyczącymi szczepień przeciw grypie.</w:t>
            </w:r>
          </w:p>
        </w:tc>
      </w:tr>
      <w:tr w:rsidR="00143B25" w:rsidRPr="004D093B" w14:paraId="28258B5C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5E145" w14:textId="7CE0A705" w:rsidR="00143B25" w:rsidRPr="004D093B" w:rsidRDefault="00350EAD" w:rsidP="00143B2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FE60A" w14:textId="02153661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Lupkynis</w:t>
            </w:r>
            <w:proofErr w:type="spellEnd"/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8DC89" w14:textId="02D3DD7E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woklosporyna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13183" w14:textId="14E4CB5F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We wszystkich zarejestrowanych wskazaniach na dzień wydania decyzji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AA4E0" w14:textId="4ABF80D1" w:rsidR="00402165" w:rsidRDefault="000A4E7C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Pierwszy lek z </w:t>
            </w:r>
            <w:proofErr w:type="spellStart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>woklosporyną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stosowany w</w:t>
            </w:r>
            <w:r w:rsidR="00143B25"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połączeniu z </w:t>
            </w:r>
            <w:proofErr w:type="spellStart"/>
            <w:r w:rsidR="00143B25"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mykofenolanem</w:t>
            </w:r>
            <w:proofErr w:type="spellEnd"/>
            <w:r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mofetylu</w:t>
            </w:r>
            <w:proofErr w:type="spellEnd"/>
            <w:r w:rsidR="00143B25"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 w leczeniu dorosłych pacjentów z czynną nefropatią toczniową klasy III, IV lub V (w tym klasy mieszanej III/V i IV/V).</w:t>
            </w:r>
          </w:p>
          <w:p w14:paraId="479ABAEE" w14:textId="77777777" w:rsidR="00402165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</w:p>
          <w:p w14:paraId="70953BD7" w14:textId="55AB7339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(Choroba rzadka)</w:t>
            </w:r>
          </w:p>
        </w:tc>
      </w:tr>
      <w:tr w:rsidR="00143B25" w:rsidRPr="004D093B" w14:paraId="0C61E571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C1B29" w14:textId="7B59E3A1" w:rsidR="00143B25" w:rsidRPr="004D093B" w:rsidRDefault="00350EAD" w:rsidP="00143B2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AD3E1" w14:textId="04FC787D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Methadone</w:t>
            </w:r>
            <w:proofErr w:type="spellEnd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Hydrochloride</w:t>
            </w:r>
            <w:proofErr w:type="spellEnd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Molteni</w:t>
            </w:r>
            <w:proofErr w:type="spellEnd"/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F2C5D" w14:textId="64A704F0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metadon</w:t>
            </w:r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5CC84" w14:textId="7675477F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Umiarkowany lub silny ból, który nie może być skutecznie leczony nieopioidowymi lekami przeciwbólowymi; nowotwory złośliwe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D0E7" w14:textId="7383D33E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Rozszerzenie wskazań refundacyjnych dla opioidowych leków przeciwbólowych</w:t>
            </w:r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143B25" w:rsidRPr="004D093B" w14:paraId="697476A9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825DC" w14:textId="0A43F905" w:rsidR="00143B25" w:rsidRPr="004D093B" w:rsidRDefault="00350EAD" w:rsidP="00143B2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4384" w14:textId="31657458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Palexia</w:t>
            </w:r>
            <w:proofErr w:type="spellEnd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retard</w:t>
            </w:r>
            <w:proofErr w:type="spellEnd"/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7C338" w14:textId="1C2D342E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tapentadol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911E3" w14:textId="2FBDAA1E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We wszystkich zarejestrowanych wskazaniach na dzień wydania decyzji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0114D" w14:textId="234BEA9C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Rozszerzenie wskazań refundacyjnych dla opioidowych leków przeciwbólowych</w:t>
            </w:r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143B25" w:rsidRPr="004D093B" w14:paraId="5CAC826D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AA08B" w14:textId="7240826D" w:rsidR="00143B25" w:rsidRPr="004D093B" w:rsidRDefault="00350EAD" w:rsidP="00143B2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DD082" w14:textId="1C73EE46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E729" w14:textId="2CCF361D" w:rsidR="00143B25" w:rsidRPr="00350EAD" w:rsidRDefault="00BB4696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f</w:t>
            </w:r>
            <w:r w:rsidR="00143B25"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entanyl</w:t>
            </w: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 (</w:t>
            </w:r>
            <w:r w:rsidR="00402165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doustny</w:t>
            </w: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50B39" w14:textId="1A3412B9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We wszystkich zarejestrowanych wskazaniach na dzień wydania decyzji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C894F" w14:textId="32742A87" w:rsidR="00143B25" w:rsidRPr="00350EAD" w:rsidRDefault="00143B2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Rozszerzenie wskazań refundacyjnych dla opioidowych leków przeciwbólowych</w:t>
            </w:r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381A8A28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46E68" w14:textId="453AE465" w:rsidR="00402165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C70A2" w14:textId="51533B4F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9E393" w14:textId="0BDE68B7" w:rsidR="00402165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f</w:t>
            </w:r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entanyl</w:t>
            </w: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 (donosowy)</w:t>
            </w:r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C4763" w14:textId="5ABF042B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We wszystkich zarejestrowanych wskazaniach na dzień wydania decyzji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B514C" w14:textId="2D905E4D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Rozszerzenie wskazań refundacyjnych dla opioidowych leków przeciwbólowych</w:t>
            </w:r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794901D2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F6130" w14:textId="7F58DCF7" w:rsidR="00402165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lastRenderedPageBreak/>
              <w:t>7.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0419B" w14:textId="698CD864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1C8F9" w14:textId="6DE07D9E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fentanyl (systemy </w:t>
            </w:r>
            <w:proofErr w:type="spellStart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transdermalne</w:t>
            </w:r>
            <w:proofErr w:type="spellEnd"/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7E759" w14:textId="6D0FD1F7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We wszystkich zarejestrowanych wskazaniach na dzień wydania decyzji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3AF1" w14:textId="167E80F9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Rozszerzenie wskazań refundacyjnych dla opioidowych leków przeciwbólowych</w:t>
            </w:r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2BD049D2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40032" w14:textId="0F21ED9D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856A7" w14:textId="349B8568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1325C" w14:textId="4FDDB0D4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morfina (doustn</w:t>
            </w:r>
            <w:r w:rsidR="003403B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e</w:t>
            </w:r>
            <w:r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 formy stałe i płynne</w:t>
            </w:r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5F0A0" w14:textId="12F6E399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We wszystkich zarejestrowanych wskazaniach na dzień wydania decyzji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180B" w14:textId="0E26918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Rozszerzenie wskazań refundacyjnych dla opioidowych leków przeciwbólowych</w:t>
            </w:r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39D54856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D2444" w14:textId="23A55982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52C2E" w14:textId="47244944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CB4A2" w14:textId="561BA0B3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oksykodon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A6F1C" w14:textId="7CF0DB8D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Nowotwory złośliwe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57138" w14:textId="704C77B7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Uporządkowanie oraz ujednolicenie w stosunku do pozostałych leków opioidowych wskazań refundacyjnych dla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oksykodonu</w:t>
            </w:r>
            <w:proofErr w:type="spellEnd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12FAAC17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409F7" w14:textId="19678FEB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F2E2E" w14:textId="53B05FE6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Różne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B98A9" w14:textId="305BD36C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oksykodon</w:t>
            </w:r>
            <w:proofErr w:type="spellEnd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 xml:space="preserve"> + </w:t>
            </w: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nalokson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C988F" w14:textId="4DCA9A0B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Ból w przebiegu chorób nowotworowych i nienowotworowych – u pacjentów, u których występują zaparcia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poopioidowe</w:t>
            </w:r>
            <w:proofErr w:type="spellEnd"/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87E1" w14:textId="78A88216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Rozszerzenie wskazań refundacyjnych dla opioidowych leków przeciwbólowych</w:t>
            </w:r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7934F419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F70F6" w14:textId="3508ECFC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D8C4B" w14:textId="77E71DCB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C0E10" w14:textId="24862998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amisulprid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4361B" w14:textId="505AF6B8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F21; F22; F23; F24; F25; F28; F29 wg ICD-10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C8FCA" w14:textId="739374BC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Dodanie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496DD4D8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3B1EC" w14:textId="32784562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D8F5E" w14:textId="435D1C6F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1BA74" w14:textId="6618A90F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aripiprazol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ABB8C" w14:textId="1685256D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F21; F22; F23; F24; F25; F28; F29 wg ICD-10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9C7AB" w14:textId="7AF23C1E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442F842B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04503" w14:textId="4B0A7F2B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47348" w14:textId="27FA8E8A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78047" w14:textId="523B16DA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kwetiapina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0E594" w14:textId="0CF98D42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F21; F22; F23; F24; F25; F28; F29 wg ICD-10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44B09" w14:textId="39F9336D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05743E75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9729C" w14:textId="6CBD61CB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EA6E8" w14:textId="59059EC3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6031F" w14:textId="47A89633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olanzapina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2AB3C" w14:textId="5CACDB77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F21; F22; F23; F24; F25; F28; F29 wg ICD-10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FD0A6" w14:textId="28369F1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60927590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FE961" w14:textId="385DAC65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92633" w14:textId="6DB5076D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B4506" w14:textId="54EAD2F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risperidon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3D07F" w14:textId="6E6C50CD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F21; F22; F23; F24; F25; F28; F29 wg ICD-10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25F64" w14:textId="5280E0B5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6BBA8D88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5BAF6" w14:textId="7CAB7E12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23DF7" w14:textId="6ED47AC3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026CB" w14:textId="68767B74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sertindol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CE92E" w14:textId="4C64A9E1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F21; F22; F23; F24; F25; F28; F29 wg ICD-10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A3C5C" w14:textId="35396CED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Dodanie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1D6F79B6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A3A75" w14:textId="5A108182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17564" w14:textId="589CF32A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163D5" w14:textId="18296701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ziprasidon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FA86F" w14:textId="4CD5FBAC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F21; F22; F23; F24; F25; F28; F29 wg ICD-10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DA428" w14:textId="77148C85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20D7E12E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7D3B0" w14:textId="46453390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0CDE5" w14:textId="14E654E4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7A48E" w14:textId="635364A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agomelatyna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0B7AC" w14:textId="1148380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Depresja lub zaburzenia depresyjne (F32; F33; F34; F38; F39 wg ICD - 10) - do ukończenia 18.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32463" w14:textId="6A5FD502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Dodanie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523F95E0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AA639" w14:textId="67D80542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78E94" w14:textId="6C659D86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B49C" w14:textId="115904C9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aripiprazol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E8D47" w14:textId="1F19441A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Depresja lub zaburzenia depresyjne (F32; F33; F34; F38; F39 wg ICD - 10) - do ukończenia 18.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EB703" w14:textId="797B8FF4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7EB25455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8948" w14:textId="654EAF08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588C4" w14:textId="3E8A1B91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C997A" w14:textId="53506DDB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aripiprazol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8A1BB" w14:textId="4396C7C8" w:rsidR="00402165" w:rsidRPr="00350EAD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Z</w:t>
            </w:r>
            <w:r w:rsidR="00402165"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aburzenia obsesyjno-kompulsywne (F42 wg ICD - 10) - do ukończenia 18.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1568E" w14:textId="144E88DE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778D9801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66634" w14:textId="169DC1FE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lastRenderedPageBreak/>
              <w:t>21.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BC862" w14:textId="399D85BC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33C3B" w14:textId="6B2062D3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aripiprazol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A7B1A" w14:textId="2F6C8B37" w:rsidR="00402165" w:rsidRPr="00350EAD" w:rsidRDefault="005558C1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T</w:t>
            </w:r>
            <w:r w:rsidR="00402165"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iki (F95.0; F95.1; F95.8; F95.9 wg ICD - 10) - do ukończenia 18.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15BDB" w14:textId="23E55EA1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57D1DD6C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0A979" w14:textId="3D27D8F5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40F4" w14:textId="29284EA1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29ABF" w14:textId="0A5D3A87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duloksetyna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75D83" w14:textId="359AFDD2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Zaburzenia lękowe i adaptacyjne (F41; F42; F43 wg ICD - 10) - do ukończenia 18.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B5968" w14:textId="316BFFE2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Dodanie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1C39D96A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BF216" w14:textId="3CBB04DF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2FF59" w14:textId="725689C7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ACC80" w14:textId="7CF0821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kwetiapina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43C2A" w14:textId="31BA99DF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Depresja lub zaburzenia depresyjne (F32; F33; F34; F38; F39 wg ICD - 10) - do ukończenia 18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50626" w14:textId="1744603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Dodanie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770036B9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FE632" w14:textId="6DB6BEFE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ED871" w14:textId="5E4051DD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23D72" w14:textId="64917276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olanzapina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C0273" w14:textId="3AE0F747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Jadłowstręt psychiczny (F50.0; F50.1 wg ICD - 10) - do ukończenia18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6CCEC" w14:textId="352AD82C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0ED20F59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9056F" w14:textId="16CA0A44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24BD0" w14:textId="2BA388A6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35842" w14:textId="3BBE0E7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risperidon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DB2D1" w14:textId="49F66ADC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Depresja lub zaburzenia depresyjne (F32; F33; F34; F38; F39 wg ICD - 10) - do ukończenia 18. r.ż.;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1E9C5" w14:textId="47B3D571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020A9D94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A60DD" w14:textId="5FF88D12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2E7B6" w14:textId="0AA960CF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FFA66" w14:textId="1EF398AD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risperidon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5E741" w14:textId="6C4BE73E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Tiki (F95.0; F95.1; F95.8; F95.9 wg ICD - 10) - do ukończenia 18.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59E66" w14:textId="5910388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49E18BAF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EC092" w14:textId="5D48D87C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E60BB" w14:textId="6CB89CD3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1A88B" w14:textId="01654C35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sulpiryd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BC8B0" w14:textId="262942FB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Tiki (F95.0; F95.1; F95.8; F95.9 wg ICD - 10) - do ukończenia 18.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F133A" w14:textId="5E546848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tr w:rsidR="00402165" w:rsidRPr="004D093B" w14:paraId="0447FC17" w14:textId="77777777" w:rsidTr="005558C1">
        <w:trPr>
          <w:cantSplit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6C885" w14:textId="595D861B" w:rsidR="00402165" w:rsidRPr="004D093B" w:rsidRDefault="00402165" w:rsidP="00402165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>
              <w:rPr>
                <w:rFonts w:ascii="Lato" w:hAnsi="Lato" w:cstheme="majorHAnsi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78FED" w14:textId="589EB19B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b/>
                <w:bCs/>
                <w:color w:val="000000"/>
                <w:sz w:val="18"/>
                <w:szCs w:val="18"/>
              </w:rPr>
              <w:t>Rożne nazwy handlowe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94972" w14:textId="5B106A70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350EAD">
              <w:rPr>
                <w:rFonts w:ascii="Lato" w:hAnsi="Lato" w:cstheme="majorHAnsi"/>
                <w:i/>
                <w:iCs/>
                <w:color w:val="000000"/>
                <w:sz w:val="18"/>
                <w:szCs w:val="18"/>
              </w:rPr>
              <w:t>ziprasidon</w:t>
            </w:r>
            <w:proofErr w:type="spellEnd"/>
          </w:p>
        </w:tc>
        <w:tc>
          <w:tcPr>
            <w:tcW w:w="2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365CA" w14:textId="1FD03071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Tiki (F95.0; F95.1; F95.8; F95.9 wg ICD - 10) - do ukończenia 18. r.ż.</w:t>
            </w:r>
          </w:p>
        </w:tc>
        <w:tc>
          <w:tcPr>
            <w:tcW w:w="1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4EC3E" w14:textId="6E454497" w:rsidR="00402165" w:rsidRPr="00350EAD" w:rsidRDefault="00402165" w:rsidP="005558C1">
            <w:pPr>
              <w:spacing w:before="60" w:after="60" w:line="240" w:lineRule="auto"/>
              <w:jc w:val="center"/>
              <w:rPr>
                <w:rFonts w:ascii="Lato" w:hAnsi="Lato" w:cstheme="majorHAnsi"/>
                <w:color w:val="000000"/>
                <w:sz w:val="18"/>
                <w:szCs w:val="18"/>
              </w:rPr>
            </w:pPr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 xml:space="preserve">Rozszerzenie wskazania </w:t>
            </w:r>
            <w:proofErr w:type="spellStart"/>
            <w:r w:rsidRPr="00350EAD">
              <w:rPr>
                <w:rFonts w:ascii="Lato" w:hAnsi="Lato" w:cstheme="majorHAnsi"/>
                <w:color w:val="000000"/>
                <w:sz w:val="18"/>
                <w:szCs w:val="18"/>
              </w:rPr>
              <w:t>pozarejestracyjnego</w:t>
            </w:r>
            <w:proofErr w:type="spellEnd"/>
            <w:r w:rsidR="000A4E7C">
              <w:rPr>
                <w:rFonts w:ascii="Lato" w:hAnsi="Lato" w:cstheme="majorHAnsi"/>
                <w:color w:val="000000"/>
                <w:sz w:val="18"/>
                <w:szCs w:val="18"/>
              </w:rPr>
              <w:t>.</w:t>
            </w:r>
          </w:p>
        </w:tc>
      </w:tr>
      <w:bookmarkEnd w:id="2"/>
    </w:tbl>
    <w:p w14:paraId="71B7EE83" w14:textId="538D4784" w:rsidR="00E0315B" w:rsidRDefault="00E0315B">
      <w:pPr>
        <w:suppressAutoHyphens w:val="0"/>
        <w:rPr>
          <w:rFonts w:ascii="Lato" w:hAnsi="Lato"/>
          <w:b/>
          <w:bCs/>
          <w:color w:val="00B0F0"/>
        </w:rPr>
      </w:pPr>
    </w:p>
    <w:p w14:paraId="1622E3E3" w14:textId="08CFB636" w:rsidR="005558C1" w:rsidRPr="00E0315B" w:rsidRDefault="00E0315B">
      <w:pPr>
        <w:suppressAutoHyphens w:val="0"/>
        <w:rPr>
          <w:rFonts w:ascii="Lato" w:hAnsi="Lato"/>
          <w:b/>
          <w:bCs/>
          <w:color w:val="00B0F0"/>
        </w:rPr>
      </w:pPr>
      <w:r>
        <w:rPr>
          <w:rFonts w:ascii="Lato" w:hAnsi="Lato"/>
          <w:b/>
          <w:bCs/>
          <w:color w:val="00B0F0"/>
        </w:rPr>
        <w:br w:type="page"/>
      </w:r>
    </w:p>
    <w:p w14:paraId="22B33C6F" w14:textId="1104F7C2" w:rsidR="00744FFB" w:rsidRDefault="00744FFB" w:rsidP="00744FFB">
      <w:pPr>
        <w:suppressAutoHyphens w:val="0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  <w:color w:val="00B0F0"/>
          <w:sz w:val="28"/>
          <w:szCs w:val="28"/>
        </w:rPr>
        <w:lastRenderedPageBreak/>
        <w:t xml:space="preserve">BRAK REFUNDACJI LEKU </w:t>
      </w:r>
      <w:r w:rsidR="00350EAD">
        <w:rPr>
          <w:rFonts w:ascii="Lato" w:hAnsi="Lato"/>
          <w:b/>
          <w:bCs/>
          <w:color w:val="00B0F0"/>
          <w:sz w:val="28"/>
          <w:szCs w:val="28"/>
        </w:rPr>
        <w:t>TRULICITY</w:t>
      </w:r>
    </w:p>
    <w:p w14:paraId="4E8A37D9" w14:textId="77777777" w:rsidR="005C38AF" w:rsidRPr="00350EAD" w:rsidRDefault="005C38AF" w:rsidP="005C38AF">
      <w:pPr>
        <w:spacing w:after="0" w:line="360" w:lineRule="auto"/>
        <w:jc w:val="both"/>
        <w:rPr>
          <w:rFonts w:ascii="Lato" w:hAnsi="Lato"/>
        </w:rPr>
      </w:pPr>
      <w:r w:rsidRPr="00350EAD">
        <w:rPr>
          <w:rFonts w:ascii="Lato" w:hAnsi="Lato"/>
        </w:rPr>
        <w:t xml:space="preserve">30 września 2024 r. upływa termin obowiązywania decyzji o objęciu refundacją i ustaleniu ceny zbytu netto dla wszystkich refundowanych prezentacji leku </w:t>
      </w:r>
      <w:proofErr w:type="spellStart"/>
      <w:r w:rsidRPr="00350EAD">
        <w:rPr>
          <w:rFonts w:ascii="Lato" w:hAnsi="Lato"/>
        </w:rPr>
        <w:t>Trulicity</w:t>
      </w:r>
      <w:proofErr w:type="spellEnd"/>
      <w:r w:rsidRPr="00350EAD">
        <w:rPr>
          <w:rFonts w:ascii="Lato" w:hAnsi="Lato"/>
        </w:rPr>
        <w:t xml:space="preserve"> – analogu GLP-1:</w:t>
      </w:r>
    </w:p>
    <w:p w14:paraId="278D6C08" w14:textId="77777777" w:rsidR="005C38AF" w:rsidRPr="00350EAD" w:rsidRDefault="005C38AF" w:rsidP="005C38AF">
      <w:pPr>
        <w:pStyle w:val="Akapitzlist"/>
        <w:numPr>
          <w:ilvl w:val="0"/>
          <w:numId w:val="37"/>
        </w:numPr>
        <w:suppressAutoHyphens w:val="0"/>
        <w:autoSpaceDN/>
        <w:spacing w:after="0" w:line="360" w:lineRule="auto"/>
        <w:jc w:val="both"/>
        <w:textAlignment w:val="auto"/>
        <w:rPr>
          <w:rFonts w:ascii="Lato" w:hAnsi="Lato"/>
        </w:rPr>
      </w:pPr>
      <w:proofErr w:type="spellStart"/>
      <w:r w:rsidRPr="00350EAD">
        <w:rPr>
          <w:rFonts w:ascii="Lato" w:hAnsi="Lato"/>
        </w:rPr>
        <w:t>Trulicity</w:t>
      </w:r>
      <w:proofErr w:type="spellEnd"/>
      <w:r w:rsidRPr="00350EAD">
        <w:rPr>
          <w:rFonts w:ascii="Lato" w:hAnsi="Lato"/>
        </w:rPr>
        <w:t xml:space="preserve">, </w:t>
      </w:r>
      <w:proofErr w:type="spellStart"/>
      <w:r w:rsidRPr="00350EAD">
        <w:rPr>
          <w:rFonts w:ascii="Lato" w:hAnsi="Lato"/>
        </w:rPr>
        <w:t>Dulaglutidum</w:t>
      </w:r>
      <w:proofErr w:type="spellEnd"/>
      <w:r w:rsidRPr="00350EAD">
        <w:rPr>
          <w:rFonts w:ascii="Lato" w:hAnsi="Lato"/>
        </w:rPr>
        <w:t xml:space="preserve">, 0,75 mg, roztwór do </w:t>
      </w:r>
      <w:proofErr w:type="spellStart"/>
      <w:r w:rsidRPr="00350EAD">
        <w:rPr>
          <w:rFonts w:ascii="Lato" w:hAnsi="Lato"/>
        </w:rPr>
        <w:t>wstrzykiwań</w:t>
      </w:r>
      <w:proofErr w:type="spellEnd"/>
      <w:r w:rsidRPr="00350EAD">
        <w:rPr>
          <w:rFonts w:ascii="Lato" w:hAnsi="Lato"/>
        </w:rPr>
        <w:t xml:space="preserve">, 2 </w:t>
      </w:r>
      <w:proofErr w:type="spellStart"/>
      <w:r w:rsidRPr="00350EAD">
        <w:rPr>
          <w:rFonts w:ascii="Lato" w:hAnsi="Lato"/>
        </w:rPr>
        <w:t>wstrzykiwacze</w:t>
      </w:r>
      <w:proofErr w:type="spellEnd"/>
      <w:r w:rsidRPr="00350EAD">
        <w:rPr>
          <w:rFonts w:ascii="Lato" w:hAnsi="Lato"/>
        </w:rPr>
        <w:t xml:space="preserve"> po 0,5 ml, GTIN: 05909991219130,</w:t>
      </w:r>
    </w:p>
    <w:p w14:paraId="77762D78" w14:textId="77777777" w:rsidR="005C38AF" w:rsidRPr="00350EAD" w:rsidRDefault="005C38AF" w:rsidP="005C38AF">
      <w:pPr>
        <w:pStyle w:val="Akapitzlist"/>
        <w:numPr>
          <w:ilvl w:val="0"/>
          <w:numId w:val="37"/>
        </w:numPr>
        <w:suppressAutoHyphens w:val="0"/>
        <w:autoSpaceDN/>
        <w:spacing w:after="0" w:line="360" w:lineRule="auto"/>
        <w:jc w:val="both"/>
        <w:textAlignment w:val="auto"/>
        <w:rPr>
          <w:rFonts w:ascii="Lato" w:hAnsi="Lato"/>
        </w:rPr>
      </w:pPr>
      <w:proofErr w:type="spellStart"/>
      <w:r w:rsidRPr="00350EAD">
        <w:rPr>
          <w:rFonts w:ascii="Lato" w:hAnsi="Lato"/>
        </w:rPr>
        <w:t>Trulicity</w:t>
      </w:r>
      <w:proofErr w:type="spellEnd"/>
      <w:r w:rsidRPr="00350EAD">
        <w:rPr>
          <w:rFonts w:ascii="Lato" w:hAnsi="Lato"/>
        </w:rPr>
        <w:t xml:space="preserve">, </w:t>
      </w:r>
      <w:proofErr w:type="spellStart"/>
      <w:r w:rsidRPr="00350EAD">
        <w:rPr>
          <w:rFonts w:ascii="Lato" w:hAnsi="Lato"/>
        </w:rPr>
        <w:t>Dulaglutidum</w:t>
      </w:r>
      <w:proofErr w:type="spellEnd"/>
      <w:r w:rsidRPr="00350EAD">
        <w:rPr>
          <w:rFonts w:ascii="Lato" w:hAnsi="Lato"/>
        </w:rPr>
        <w:t xml:space="preserve">, 1,5 mg, roztwór do </w:t>
      </w:r>
      <w:proofErr w:type="spellStart"/>
      <w:r w:rsidRPr="00350EAD">
        <w:rPr>
          <w:rFonts w:ascii="Lato" w:hAnsi="Lato"/>
        </w:rPr>
        <w:t>wstrzykiwań</w:t>
      </w:r>
      <w:proofErr w:type="spellEnd"/>
      <w:r w:rsidRPr="00350EAD">
        <w:rPr>
          <w:rFonts w:ascii="Lato" w:hAnsi="Lato"/>
        </w:rPr>
        <w:t xml:space="preserve">, 2 </w:t>
      </w:r>
      <w:proofErr w:type="spellStart"/>
      <w:r w:rsidRPr="00350EAD">
        <w:rPr>
          <w:rFonts w:ascii="Lato" w:hAnsi="Lato"/>
        </w:rPr>
        <w:t>wstrzykiwacze</w:t>
      </w:r>
      <w:proofErr w:type="spellEnd"/>
      <w:r w:rsidRPr="00350EAD">
        <w:rPr>
          <w:rFonts w:ascii="Lato" w:hAnsi="Lato"/>
        </w:rPr>
        <w:t xml:space="preserve"> po 0,5 ml, GTIN: 05909991219161,</w:t>
      </w:r>
    </w:p>
    <w:p w14:paraId="0BBB4823" w14:textId="77777777" w:rsidR="005C38AF" w:rsidRPr="00350EAD" w:rsidRDefault="005C38AF" w:rsidP="005C38AF">
      <w:pPr>
        <w:pStyle w:val="Akapitzlist"/>
        <w:numPr>
          <w:ilvl w:val="0"/>
          <w:numId w:val="37"/>
        </w:numPr>
        <w:suppressAutoHyphens w:val="0"/>
        <w:autoSpaceDN/>
        <w:spacing w:after="0" w:line="360" w:lineRule="auto"/>
        <w:jc w:val="both"/>
        <w:textAlignment w:val="auto"/>
        <w:rPr>
          <w:rFonts w:ascii="Lato" w:hAnsi="Lato"/>
        </w:rPr>
      </w:pPr>
      <w:proofErr w:type="spellStart"/>
      <w:r w:rsidRPr="00350EAD">
        <w:rPr>
          <w:rFonts w:ascii="Lato" w:hAnsi="Lato"/>
        </w:rPr>
        <w:t>Trulicity</w:t>
      </w:r>
      <w:proofErr w:type="spellEnd"/>
      <w:r w:rsidRPr="00350EAD">
        <w:rPr>
          <w:rFonts w:ascii="Lato" w:hAnsi="Lato"/>
        </w:rPr>
        <w:t xml:space="preserve">, </w:t>
      </w:r>
      <w:proofErr w:type="spellStart"/>
      <w:r w:rsidRPr="00350EAD">
        <w:rPr>
          <w:rFonts w:ascii="Lato" w:hAnsi="Lato"/>
        </w:rPr>
        <w:t>Dulaglutidum</w:t>
      </w:r>
      <w:proofErr w:type="spellEnd"/>
      <w:r w:rsidRPr="00350EAD">
        <w:rPr>
          <w:rFonts w:ascii="Lato" w:hAnsi="Lato"/>
        </w:rPr>
        <w:t xml:space="preserve">, 3 mg, roztwór do </w:t>
      </w:r>
      <w:proofErr w:type="spellStart"/>
      <w:r w:rsidRPr="00350EAD">
        <w:rPr>
          <w:rFonts w:ascii="Lato" w:hAnsi="Lato"/>
        </w:rPr>
        <w:t>wstrzykiwań</w:t>
      </w:r>
      <w:proofErr w:type="spellEnd"/>
      <w:r w:rsidRPr="00350EAD">
        <w:rPr>
          <w:rFonts w:ascii="Lato" w:hAnsi="Lato"/>
        </w:rPr>
        <w:t xml:space="preserve">, 2 </w:t>
      </w:r>
      <w:proofErr w:type="spellStart"/>
      <w:r w:rsidRPr="00350EAD">
        <w:rPr>
          <w:rFonts w:ascii="Lato" w:hAnsi="Lato"/>
        </w:rPr>
        <w:t>wstrzykiwacze</w:t>
      </w:r>
      <w:proofErr w:type="spellEnd"/>
      <w:r w:rsidRPr="00350EAD">
        <w:rPr>
          <w:rFonts w:ascii="Lato" w:hAnsi="Lato"/>
        </w:rPr>
        <w:t xml:space="preserve"> po 0,5 ml, GTIN: 08594012697638,</w:t>
      </w:r>
    </w:p>
    <w:p w14:paraId="2ACB1DCA" w14:textId="77777777" w:rsidR="005C38AF" w:rsidRPr="00350EAD" w:rsidRDefault="005C38AF" w:rsidP="005C38AF">
      <w:pPr>
        <w:pStyle w:val="Akapitzlist"/>
        <w:numPr>
          <w:ilvl w:val="0"/>
          <w:numId w:val="37"/>
        </w:numPr>
        <w:suppressAutoHyphens w:val="0"/>
        <w:autoSpaceDN/>
        <w:spacing w:after="0" w:line="360" w:lineRule="auto"/>
        <w:jc w:val="both"/>
        <w:textAlignment w:val="auto"/>
        <w:rPr>
          <w:rFonts w:ascii="Lato" w:hAnsi="Lato"/>
        </w:rPr>
      </w:pPr>
      <w:proofErr w:type="spellStart"/>
      <w:r w:rsidRPr="00350EAD">
        <w:rPr>
          <w:rFonts w:ascii="Lato" w:hAnsi="Lato"/>
        </w:rPr>
        <w:t>Trulicity</w:t>
      </w:r>
      <w:proofErr w:type="spellEnd"/>
      <w:r w:rsidRPr="00350EAD">
        <w:rPr>
          <w:rFonts w:ascii="Lato" w:hAnsi="Lato"/>
        </w:rPr>
        <w:t xml:space="preserve">, </w:t>
      </w:r>
      <w:proofErr w:type="spellStart"/>
      <w:r w:rsidRPr="00350EAD">
        <w:rPr>
          <w:rFonts w:ascii="Lato" w:hAnsi="Lato"/>
        </w:rPr>
        <w:t>Dulaglutidum</w:t>
      </w:r>
      <w:proofErr w:type="spellEnd"/>
      <w:r w:rsidRPr="00350EAD">
        <w:rPr>
          <w:rFonts w:ascii="Lato" w:hAnsi="Lato"/>
        </w:rPr>
        <w:t xml:space="preserve">, 4,5 mg, roztwór do </w:t>
      </w:r>
      <w:proofErr w:type="spellStart"/>
      <w:r w:rsidRPr="00350EAD">
        <w:rPr>
          <w:rFonts w:ascii="Lato" w:hAnsi="Lato"/>
        </w:rPr>
        <w:t>wstrzykiwań</w:t>
      </w:r>
      <w:proofErr w:type="spellEnd"/>
      <w:r w:rsidRPr="00350EAD">
        <w:rPr>
          <w:rFonts w:ascii="Lato" w:hAnsi="Lato"/>
        </w:rPr>
        <w:t xml:space="preserve">, 2 </w:t>
      </w:r>
      <w:proofErr w:type="spellStart"/>
      <w:r w:rsidRPr="00350EAD">
        <w:rPr>
          <w:rFonts w:ascii="Lato" w:hAnsi="Lato"/>
        </w:rPr>
        <w:t>wstrzykiwacze</w:t>
      </w:r>
      <w:proofErr w:type="spellEnd"/>
      <w:r w:rsidRPr="00350EAD">
        <w:rPr>
          <w:rFonts w:ascii="Lato" w:hAnsi="Lato"/>
        </w:rPr>
        <w:t xml:space="preserve"> po 0,5 ml, GTIN: 08594012697645,</w:t>
      </w:r>
    </w:p>
    <w:p w14:paraId="4D429544" w14:textId="77777777" w:rsidR="005C38AF" w:rsidRPr="00350EAD" w:rsidRDefault="005C38AF" w:rsidP="005C38AF">
      <w:pPr>
        <w:spacing w:after="0" w:line="360" w:lineRule="auto"/>
        <w:jc w:val="both"/>
        <w:rPr>
          <w:rFonts w:ascii="Lato" w:hAnsi="Lato"/>
        </w:rPr>
      </w:pPr>
      <w:r w:rsidRPr="00350EAD">
        <w:rPr>
          <w:rFonts w:ascii="Lato" w:hAnsi="Lato"/>
        </w:rPr>
        <w:t xml:space="preserve">podmiot odpowiedzialny Eli </w:t>
      </w:r>
      <w:proofErr w:type="spellStart"/>
      <w:r w:rsidRPr="00350EAD">
        <w:rPr>
          <w:rFonts w:ascii="Lato" w:hAnsi="Lato"/>
        </w:rPr>
        <w:t>Lilly</w:t>
      </w:r>
      <w:proofErr w:type="spellEnd"/>
      <w:r w:rsidRPr="00350EAD">
        <w:rPr>
          <w:rFonts w:ascii="Lato" w:hAnsi="Lato"/>
        </w:rPr>
        <w:t xml:space="preserve"> Polska sp. z o.o.</w:t>
      </w:r>
    </w:p>
    <w:p w14:paraId="0E65251A" w14:textId="77777777" w:rsidR="005C38AF" w:rsidRPr="00350EAD" w:rsidRDefault="005C38AF" w:rsidP="005C38AF">
      <w:pPr>
        <w:spacing w:after="0" w:line="360" w:lineRule="auto"/>
        <w:jc w:val="both"/>
        <w:rPr>
          <w:rFonts w:ascii="Lato" w:hAnsi="Lato"/>
        </w:rPr>
      </w:pPr>
    </w:p>
    <w:p w14:paraId="2DB522E1" w14:textId="77777777" w:rsidR="009C593F" w:rsidRDefault="005C38AF" w:rsidP="005C38AF">
      <w:pPr>
        <w:spacing w:after="0" w:line="360" w:lineRule="auto"/>
        <w:jc w:val="both"/>
        <w:rPr>
          <w:rFonts w:ascii="Lato" w:hAnsi="Lato"/>
        </w:rPr>
      </w:pPr>
      <w:r w:rsidRPr="00350EAD">
        <w:rPr>
          <w:rFonts w:ascii="Lato" w:hAnsi="Lato"/>
        </w:rPr>
        <w:t xml:space="preserve">Złożone przez Eli </w:t>
      </w:r>
      <w:proofErr w:type="spellStart"/>
      <w:r w:rsidRPr="00350EAD">
        <w:rPr>
          <w:rFonts w:ascii="Lato" w:hAnsi="Lato"/>
        </w:rPr>
        <w:t>Lilly</w:t>
      </w:r>
      <w:proofErr w:type="spellEnd"/>
      <w:r w:rsidRPr="00350EAD">
        <w:rPr>
          <w:rFonts w:ascii="Lato" w:hAnsi="Lato"/>
        </w:rPr>
        <w:t xml:space="preserve"> Polska sp. z o.o. wnioski o kontynuację refundacji leku </w:t>
      </w:r>
      <w:proofErr w:type="spellStart"/>
      <w:r w:rsidRPr="00350EAD">
        <w:rPr>
          <w:rFonts w:ascii="Lato" w:hAnsi="Lato"/>
        </w:rPr>
        <w:t>Trulicity</w:t>
      </w:r>
      <w:proofErr w:type="spellEnd"/>
      <w:r w:rsidRPr="00350EAD">
        <w:rPr>
          <w:rFonts w:ascii="Lato" w:hAnsi="Lato"/>
        </w:rPr>
        <w:t xml:space="preserve"> nie spełniały warunków określonych przepisami art. 13 ust. 2 ustawy z 12 maja 2011 r. </w:t>
      </w:r>
      <w:r w:rsidRPr="00350EAD">
        <w:rPr>
          <w:rFonts w:ascii="Lato" w:hAnsi="Lato"/>
          <w:i/>
          <w:iCs/>
        </w:rPr>
        <w:t>o refundacji leków, środków spożywczych specjalnego przeznaczenia żywieniowego oraz wyrobów medycznych</w:t>
      </w:r>
      <w:r w:rsidRPr="00350EAD">
        <w:rPr>
          <w:rFonts w:ascii="Lato" w:hAnsi="Lato"/>
        </w:rPr>
        <w:t xml:space="preserve"> (Dz. U. z 2024 r. poz. 930, z </w:t>
      </w:r>
      <w:proofErr w:type="spellStart"/>
      <w:r w:rsidRPr="00350EAD">
        <w:rPr>
          <w:rFonts w:ascii="Lato" w:hAnsi="Lato"/>
        </w:rPr>
        <w:t>późn</w:t>
      </w:r>
      <w:proofErr w:type="spellEnd"/>
      <w:r w:rsidRPr="00350EAD">
        <w:rPr>
          <w:rFonts w:ascii="Lato" w:hAnsi="Lato"/>
        </w:rPr>
        <w:t>. zm.</w:t>
      </w:r>
      <w:r w:rsidR="00402165">
        <w:rPr>
          <w:rFonts w:ascii="Lato" w:hAnsi="Lato"/>
        </w:rPr>
        <w:t>, dalej jako „ustawa o refundacji”</w:t>
      </w:r>
      <w:r w:rsidRPr="00350EAD">
        <w:rPr>
          <w:rFonts w:ascii="Lato" w:hAnsi="Lato"/>
        </w:rPr>
        <w:t>), który jednoznacznie wskazuje maksymalną cenę leku wnioskowanego wymaganą w przypadku objęcia refundacją produktu w momencie zakończenia jego okresu wyłączności rynkowej lub ochrony patentowej.</w:t>
      </w:r>
    </w:p>
    <w:p w14:paraId="21BB679E" w14:textId="77777777" w:rsidR="009C593F" w:rsidRDefault="005C38AF" w:rsidP="00402165">
      <w:pPr>
        <w:spacing w:after="0" w:line="360" w:lineRule="auto"/>
        <w:jc w:val="both"/>
        <w:rPr>
          <w:rFonts w:ascii="Lato" w:hAnsi="Lato"/>
        </w:rPr>
      </w:pPr>
      <w:r w:rsidRPr="0088347A">
        <w:rPr>
          <w:rFonts w:ascii="Lato" w:hAnsi="Lato"/>
        </w:rPr>
        <w:t>W związku z powyższym Minister Zdrowia nie ma prawnych możliwości kontynuowania refundacji tych leków od 1 października 2024 r. na</w:t>
      </w:r>
      <w:r w:rsidR="009C593F">
        <w:rPr>
          <w:rFonts w:ascii="Lato" w:hAnsi="Lato"/>
        </w:rPr>
        <w:t xml:space="preserve"> </w:t>
      </w:r>
      <w:r w:rsidRPr="00350EAD">
        <w:rPr>
          <w:rFonts w:ascii="Lato" w:hAnsi="Lato"/>
        </w:rPr>
        <w:t>zaproponowanych przez podmiot odpowiedzialny warunkach.</w:t>
      </w:r>
    </w:p>
    <w:p w14:paraId="10B850C0" w14:textId="77777777" w:rsidR="009C593F" w:rsidRDefault="009C593F" w:rsidP="00402165">
      <w:pPr>
        <w:spacing w:after="0" w:line="360" w:lineRule="auto"/>
        <w:jc w:val="both"/>
        <w:rPr>
          <w:rFonts w:ascii="Lato" w:hAnsi="Lato"/>
        </w:rPr>
      </w:pPr>
    </w:p>
    <w:p w14:paraId="35607ED1" w14:textId="09FE8299" w:rsidR="009C593F" w:rsidRDefault="00BB4696" w:rsidP="005C38AF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Niezależnie od powyższego, podmiot odpowiedzialny Eli </w:t>
      </w:r>
      <w:proofErr w:type="spellStart"/>
      <w:r>
        <w:rPr>
          <w:rFonts w:ascii="Lato" w:hAnsi="Lato"/>
        </w:rPr>
        <w:t>Lilly</w:t>
      </w:r>
      <w:proofErr w:type="spellEnd"/>
      <w:r>
        <w:rPr>
          <w:rFonts w:ascii="Lato" w:hAnsi="Lato"/>
        </w:rPr>
        <w:t xml:space="preserve"> Polska sp. z o.o. przedłożył nowe wnioski refundacyjne dla ww. prezentacji leku </w:t>
      </w:r>
      <w:proofErr w:type="spellStart"/>
      <w:r>
        <w:rPr>
          <w:rFonts w:ascii="Lato" w:hAnsi="Lato"/>
        </w:rPr>
        <w:t>Trulicity</w:t>
      </w:r>
      <w:proofErr w:type="spellEnd"/>
      <w:r>
        <w:rPr>
          <w:rFonts w:ascii="Lato" w:hAnsi="Lato"/>
        </w:rPr>
        <w:t xml:space="preserve">, które obecnie podlegają ocenie Agencji Oceny Technologii Medycznych i Taryfikacji celem przygotowania </w:t>
      </w:r>
      <w:r w:rsidR="00402165" w:rsidRPr="00402165">
        <w:rPr>
          <w:rFonts w:ascii="Lato" w:hAnsi="Lato"/>
        </w:rPr>
        <w:t xml:space="preserve">analizy weryfikacyjnej </w:t>
      </w:r>
      <w:r w:rsidR="00402165">
        <w:rPr>
          <w:rFonts w:ascii="Lato" w:hAnsi="Lato"/>
        </w:rPr>
        <w:t xml:space="preserve">Agencji, </w:t>
      </w:r>
      <w:r w:rsidR="00402165" w:rsidRPr="00402165">
        <w:rPr>
          <w:rFonts w:ascii="Lato" w:hAnsi="Lato"/>
        </w:rPr>
        <w:t>stanowiska Rady Przejrzystości</w:t>
      </w:r>
      <w:r w:rsidR="00402165">
        <w:rPr>
          <w:rFonts w:ascii="Lato" w:hAnsi="Lato"/>
        </w:rPr>
        <w:t xml:space="preserve"> oraz </w:t>
      </w:r>
      <w:r w:rsidR="00402165" w:rsidRPr="00402165">
        <w:rPr>
          <w:rFonts w:ascii="Lato" w:hAnsi="Lato"/>
        </w:rPr>
        <w:t>rekomendacji Prezesa Agencji</w:t>
      </w:r>
      <w:r w:rsidR="00402165">
        <w:rPr>
          <w:rFonts w:ascii="Lato" w:hAnsi="Lato"/>
        </w:rPr>
        <w:t xml:space="preserve">, o których mowa w art. 35 ust. 1 ustawy o refundacji. </w:t>
      </w:r>
    </w:p>
    <w:p w14:paraId="4977F57F" w14:textId="156095D3" w:rsidR="00402165" w:rsidRDefault="00402165" w:rsidP="005C38AF">
      <w:pPr>
        <w:spacing w:after="0" w:line="360" w:lineRule="auto"/>
        <w:jc w:val="both"/>
        <w:rPr>
          <w:rFonts w:ascii="Lato" w:hAnsi="Lato"/>
        </w:rPr>
      </w:pPr>
      <w:r>
        <w:rPr>
          <w:rFonts w:ascii="Lato" w:hAnsi="Lato"/>
        </w:rPr>
        <w:t>Szczegóły dotyczące zlecenia dostępne w Biuletynie Informacji Publicznej Agencji pod adresem:</w:t>
      </w:r>
    </w:p>
    <w:p w14:paraId="1F2DF59B" w14:textId="7B0530E3" w:rsidR="005558C1" w:rsidRDefault="00BB4696" w:rsidP="00E0315B">
      <w:pPr>
        <w:spacing w:after="0" w:line="360" w:lineRule="auto"/>
        <w:jc w:val="both"/>
        <w:rPr>
          <w:rFonts w:ascii="Lato" w:hAnsi="Lato"/>
        </w:rPr>
      </w:pPr>
      <w:r w:rsidRPr="00BB4696">
        <w:rPr>
          <w:rFonts w:ascii="Lato" w:hAnsi="Lato"/>
        </w:rPr>
        <w:t>https://bip.aotm.gov.pl/zlecenia-mz-2024/1033-materialy-2024/8681-163-2024-zlc?highlight=WyJ0cnVsaWNpdHkiXQ==</w:t>
      </w:r>
    </w:p>
    <w:p w14:paraId="1431868B" w14:textId="77777777" w:rsidR="001D4EDF" w:rsidRDefault="001D4EDF">
      <w:pPr>
        <w:suppressAutoHyphens w:val="0"/>
        <w:rPr>
          <w:rFonts w:ascii="Lato" w:hAnsi="Lato"/>
          <w:b/>
          <w:bCs/>
          <w:color w:val="00B0F0"/>
          <w:sz w:val="28"/>
          <w:szCs w:val="28"/>
        </w:rPr>
      </w:pPr>
      <w:r>
        <w:rPr>
          <w:rFonts w:ascii="Lato" w:hAnsi="Lato"/>
          <w:b/>
          <w:bCs/>
          <w:color w:val="00B0F0"/>
          <w:sz w:val="28"/>
          <w:szCs w:val="28"/>
        </w:rPr>
        <w:br w:type="page"/>
      </w:r>
    </w:p>
    <w:p w14:paraId="556CD526" w14:textId="238DDBAF" w:rsidR="00143B25" w:rsidRPr="00600932" w:rsidRDefault="00143B25" w:rsidP="00143B25">
      <w:pPr>
        <w:suppressAutoHyphens w:val="0"/>
        <w:jc w:val="center"/>
        <w:rPr>
          <w:rFonts w:ascii="Lato" w:hAnsi="Lato"/>
          <w:b/>
          <w:bCs/>
          <w:color w:val="00B0F0"/>
          <w:sz w:val="28"/>
          <w:szCs w:val="28"/>
        </w:rPr>
      </w:pPr>
      <w:r w:rsidRPr="00350EAD">
        <w:rPr>
          <w:rFonts w:ascii="Lato" w:hAnsi="Lato"/>
          <w:b/>
          <w:bCs/>
          <w:color w:val="00B0F0"/>
          <w:sz w:val="28"/>
          <w:szCs w:val="28"/>
        </w:rPr>
        <w:lastRenderedPageBreak/>
        <w:t>ROZSZERZENIE WSKAZAŃ REFUNDACYJNYCH DLA OPIOIDOWYCH LEKÓW PRZECIWBÓLOWYCH</w:t>
      </w:r>
    </w:p>
    <w:p w14:paraId="4B39FF00" w14:textId="77777777" w:rsidR="00143B25" w:rsidRPr="00027685" w:rsidRDefault="00143B25" w:rsidP="0032369B">
      <w:pPr>
        <w:suppressAutoHyphens w:val="0"/>
        <w:spacing w:line="360" w:lineRule="auto"/>
        <w:jc w:val="both"/>
        <w:rPr>
          <w:rFonts w:ascii="Lato" w:hAnsi="Lato"/>
        </w:rPr>
      </w:pPr>
      <w:r w:rsidRPr="00027685">
        <w:rPr>
          <w:rFonts w:ascii="Lato" w:hAnsi="Lato"/>
        </w:rPr>
        <w:t>W odpowiedzi na postulaty i oczekiwania środowiska medycznego oraz pacjentów Minister Zdrowia podjął działania mające na celu ujednolicenie i uproszczenie dotychczasowych wskazań refundacyjnych opioidowych leków przeciwbólowych.  Po zasięgnięciu opinii Rady Przejrzystości</w:t>
      </w:r>
      <w:r>
        <w:rPr>
          <w:rFonts w:ascii="Lato" w:hAnsi="Lato"/>
        </w:rPr>
        <w:t xml:space="preserve"> oraz</w:t>
      </w:r>
      <w:r w:rsidRPr="00027685">
        <w:rPr>
          <w:rFonts w:ascii="Lato" w:hAnsi="Lato"/>
        </w:rPr>
        <w:t xml:space="preserve"> Konsultanta Krajowego Minister Zdrowia podjął decyzję o modyfikacji dotychczasowych wskazań refundacyjnych produktów leczniczych zawierających fentanyl, metadon, morfinę (postacie doustne), </w:t>
      </w:r>
      <w:proofErr w:type="spellStart"/>
      <w:r w:rsidRPr="00027685">
        <w:rPr>
          <w:rFonts w:ascii="Lato" w:hAnsi="Lato"/>
        </w:rPr>
        <w:t>oksykodon</w:t>
      </w:r>
      <w:proofErr w:type="spellEnd"/>
      <w:r w:rsidRPr="00027685">
        <w:rPr>
          <w:rFonts w:ascii="Lato" w:hAnsi="Lato"/>
        </w:rPr>
        <w:t xml:space="preserve">, </w:t>
      </w:r>
      <w:proofErr w:type="spellStart"/>
      <w:r w:rsidRPr="00027685">
        <w:rPr>
          <w:rFonts w:ascii="Lato" w:hAnsi="Lato"/>
        </w:rPr>
        <w:t>oksykodon</w:t>
      </w:r>
      <w:proofErr w:type="spellEnd"/>
      <w:r w:rsidRPr="00027685">
        <w:rPr>
          <w:rFonts w:ascii="Lato" w:hAnsi="Lato"/>
        </w:rPr>
        <w:t xml:space="preserve"> w połączeniu z </w:t>
      </w:r>
      <w:proofErr w:type="spellStart"/>
      <w:r w:rsidRPr="00027685">
        <w:rPr>
          <w:rFonts w:ascii="Lato" w:hAnsi="Lato"/>
        </w:rPr>
        <w:t>naloksonem</w:t>
      </w:r>
      <w:proofErr w:type="spellEnd"/>
      <w:r w:rsidRPr="00027685">
        <w:rPr>
          <w:rFonts w:ascii="Lato" w:hAnsi="Lato"/>
        </w:rPr>
        <w:t xml:space="preserve">, </w:t>
      </w:r>
      <w:proofErr w:type="spellStart"/>
      <w:r w:rsidRPr="00027685">
        <w:rPr>
          <w:rFonts w:ascii="Lato" w:hAnsi="Lato"/>
        </w:rPr>
        <w:t>tapentadol</w:t>
      </w:r>
      <w:proofErr w:type="spellEnd"/>
      <w:r w:rsidRPr="00027685">
        <w:rPr>
          <w:rFonts w:ascii="Lato" w:hAnsi="Lato"/>
        </w:rPr>
        <w:t xml:space="preserve">. </w:t>
      </w:r>
    </w:p>
    <w:p w14:paraId="0AF887EF" w14:textId="3AB7A1BD" w:rsidR="00143B25" w:rsidRDefault="00143B25" w:rsidP="0032369B">
      <w:pPr>
        <w:spacing w:line="360" w:lineRule="auto"/>
        <w:jc w:val="both"/>
        <w:rPr>
          <w:rFonts w:ascii="Lato" w:hAnsi="Lato"/>
        </w:rPr>
      </w:pPr>
      <w:r w:rsidRPr="00027685">
        <w:rPr>
          <w:rFonts w:ascii="Lato" w:hAnsi="Lato"/>
        </w:rPr>
        <w:t>Z dniem 1 października 2024 r. obowiązywać będą nowe treści wskazań refundacyjnych ww. produktów leczniczych, które rozszerzają grupę</w:t>
      </w:r>
      <w:r>
        <w:rPr>
          <w:rFonts w:ascii="Lato" w:hAnsi="Lato"/>
        </w:rPr>
        <w:t xml:space="preserve"> pacjentów, dla których przysługuje obniżona odpłatność za leki, m.in. o pacjentów z nowotworami niezłośliwymi.</w:t>
      </w:r>
      <w:r w:rsidR="0032369B">
        <w:rPr>
          <w:rFonts w:ascii="Lato" w:hAnsi="Lato"/>
        </w:rPr>
        <w:t xml:space="preserve"> Ponadto, w wielu przypadkach nowe wskazanie referuje do wskazań obecnie zarejestrowanych, zgodnych z Charakterystyką Produktu Leczniczego, upraszczając i ujednolicając tym samym cześć opisowych wskazań leków opioidowych aktualnie znajdujących się na wykazie refundacyjnym Ministra Zdrowia.</w:t>
      </w:r>
    </w:p>
    <w:p w14:paraId="2EF68E41" w14:textId="40932ED5" w:rsidR="00E0315B" w:rsidRDefault="00E0315B" w:rsidP="0032369B">
      <w:pPr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>Zmiany, o których mowa powyżej obejmą łącznie 86 leków, rozumianych jako indywidualne kody GTIN.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5652"/>
        <w:gridCol w:w="5653"/>
      </w:tblGrid>
      <w:tr w:rsidR="00143B25" w:rsidRPr="00DC3BA8" w14:paraId="12CC1DC9" w14:textId="77777777" w:rsidTr="006422E4">
        <w:tc>
          <w:tcPr>
            <w:tcW w:w="2689" w:type="dxa"/>
            <w:shd w:val="clear" w:color="auto" w:fill="00B0F0"/>
            <w:vAlign w:val="center"/>
          </w:tcPr>
          <w:p w14:paraId="7B8382A2" w14:textId="77777777" w:rsidR="00143B25" w:rsidRPr="00DC3BA8" w:rsidRDefault="00143B25" w:rsidP="006422E4">
            <w:pPr>
              <w:spacing w:before="60" w:after="60"/>
              <w:jc w:val="center"/>
              <w:rPr>
                <w:rFonts w:ascii="Lato" w:hAnsi="Lato" w:cstheme="majorHAnsi"/>
                <w:b/>
                <w:bCs/>
                <w:color w:val="FFFFFF" w:themeColor="background1"/>
              </w:rPr>
            </w:pPr>
            <w:r w:rsidRPr="00DC3BA8">
              <w:rPr>
                <w:rFonts w:ascii="Lato" w:hAnsi="Lato" w:cstheme="majorHAnsi"/>
                <w:b/>
                <w:bCs/>
                <w:color w:val="FFFFFF" w:themeColor="background1"/>
              </w:rPr>
              <w:t>Lek</w:t>
            </w:r>
          </w:p>
        </w:tc>
        <w:tc>
          <w:tcPr>
            <w:tcW w:w="5652" w:type="dxa"/>
            <w:shd w:val="clear" w:color="auto" w:fill="00B0F0"/>
            <w:vAlign w:val="center"/>
          </w:tcPr>
          <w:p w14:paraId="7F37847F" w14:textId="77777777" w:rsidR="00143B25" w:rsidRPr="00DC3BA8" w:rsidRDefault="00143B25" w:rsidP="006422E4">
            <w:pPr>
              <w:spacing w:before="60" w:after="60"/>
              <w:jc w:val="center"/>
              <w:rPr>
                <w:rFonts w:ascii="Lato" w:hAnsi="Lato" w:cstheme="majorHAnsi"/>
                <w:b/>
                <w:bCs/>
                <w:color w:val="FFFFFF" w:themeColor="background1"/>
              </w:rPr>
            </w:pPr>
            <w:r w:rsidRPr="00DC3BA8">
              <w:rPr>
                <w:rFonts w:ascii="Lato" w:hAnsi="Lato" w:cstheme="majorHAnsi"/>
                <w:b/>
                <w:bCs/>
                <w:color w:val="FFFFFF" w:themeColor="background1"/>
              </w:rPr>
              <w:t>Obecne wskazanie</w:t>
            </w:r>
          </w:p>
        </w:tc>
        <w:tc>
          <w:tcPr>
            <w:tcW w:w="5653" w:type="dxa"/>
            <w:shd w:val="clear" w:color="auto" w:fill="00B0F0"/>
            <w:vAlign w:val="center"/>
          </w:tcPr>
          <w:p w14:paraId="0FE301E3" w14:textId="77777777" w:rsidR="00143B25" w:rsidRPr="00DC3BA8" w:rsidRDefault="00143B25" w:rsidP="006422E4">
            <w:pPr>
              <w:spacing w:before="60" w:after="60"/>
              <w:jc w:val="center"/>
              <w:rPr>
                <w:rFonts w:ascii="Lato" w:hAnsi="Lato" w:cstheme="majorHAnsi"/>
                <w:b/>
                <w:bCs/>
                <w:color w:val="FFFFFF" w:themeColor="background1"/>
              </w:rPr>
            </w:pPr>
            <w:r w:rsidRPr="00DC3BA8">
              <w:rPr>
                <w:rFonts w:ascii="Lato" w:hAnsi="Lato" w:cstheme="majorHAnsi"/>
                <w:b/>
                <w:bCs/>
                <w:color w:val="FFFFFF" w:themeColor="background1"/>
              </w:rPr>
              <w:t>Docelowe wskazanie</w:t>
            </w:r>
          </w:p>
        </w:tc>
      </w:tr>
      <w:tr w:rsidR="00143B25" w:rsidRPr="00A05C45" w14:paraId="5221A424" w14:textId="77777777" w:rsidTr="006422E4">
        <w:tc>
          <w:tcPr>
            <w:tcW w:w="2689" w:type="dxa"/>
            <w:vAlign w:val="center"/>
          </w:tcPr>
          <w:p w14:paraId="3B9F63F6" w14:textId="783D2617" w:rsidR="00143B25" w:rsidRPr="00045F37" w:rsidRDefault="00143B25" w:rsidP="006422E4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Fentanyl</w:t>
            </w:r>
            <w:r w:rsidR="00402165">
              <w:rPr>
                <w:rFonts w:ascii="Lato" w:hAnsi="Lato"/>
                <w:sz w:val="18"/>
                <w:szCs w:val="18"/>
              </w:rPr>
              <w:br/>
              <w:t>(doustna forma stała)</w:t>
            </w:r>
          </w:p>
        </w:tc>
        <w:tc>
          <w:tcPr>
            <w:tcW w:w="5652" w:type="dxa"/>
            <w:vAlign w:val="center"/>
          </w:tcPr>
          <w:p w14:paraId="6CCABA31" w14:textId="77777777" w:rsidR="00143B25" w:rsidRPr="00045F37" w:rsidRDefault="00143B25" w:rsidP="006422E4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 xml:space="preserve">Ból przebijający u dorosłych pacjentów z chorobą nowotworową, którzy w ramach leczenia przewlekłego bólu nowotworowego poddawani są opioidowej terapii podtrzymującej, a u których istnieją udokumentowane przeciwwskazania do stosowania innych krótkotrwale działających </w:t>
            </w: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opioidów</w:t>
            </w:r>
            <w:proofErr w:type="spellEnd"/>
            <w:r w:rsidRPr="00045F37">
              <w:rPr>
                <w:rFonts w:ascii="Lato" w:hAnsi="Lato"/>
                <w:sz w:val="18"/>
                <w:szCs w:val="18"/>
              </w:rPr>
              <w:t xml:space="preserve"> lub stwierdzono nieskuteczność tych leków</w:t>
            </w:r>
          </w:p>
        </w:tc>
        <w:tc>
          <w:tcPr>
            <w:tcW w:w="5653" w:type="dxa"/>
            <w:vAlign w:val="center"/>
          </w:tcPr>
          <w:p w14:paraId="3855E43C" w14:textId="77777777" w:rsidR="00143B25" w:rsidRPr="00045F37" w:rsidRDefault="00143B25" w:rsidP="006422E4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We wszystkich zarejestrowanych wskazaniach na dzień wydania decyzji</w:t>
            </w:r>
          </w:p>
        </w:tc>
      </w:tr>
      <w:tr w:rsidR="00402165" w:rsidRPr="00A05C45" w14:paraId="02FAEEB2" w14:textId="77777777" w:rsidTr="006422E4">
        <w:tc>
          <w:tcPr>
            <w:tcW w:w="2689" w:type="dxa"/>
            <w:vAlign w:val="center"/>
          </w:tcPr>
          <w:p w14:paraId="3D88CD37" w14:textId="4D790FDA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Fentanyl</w:t>
            </w:r>
            <w:r>
              <w:rPr>
                <w:rFonts w:ascii="Lato" w:hAnsi="Lato"/>
                <w:sz w:val="18"/>
                <w:szCs w:val="18"/>
              </w:rPr>
              <w:br/>
              <w:t>(donosowa postać)</w:t>
            </w:r>
          </w:p>
        </w:tc>
        <w:tc>
          <w:tcPr>
            <w:tcW w:w="5652" w:type="dxa"/>
            <w:vAlign w:val="center"/>
          </w:tcPr>
          <w:p w14:paraId="44358954" w14:textId="15DE8EFD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 xml:space="preserve">Ból przebijający u dorosłych pacjentów z chorobą nowotworową, którzy w ramach leczenia przewlekłego bólu nowotworowego poddawani są opioidowej terapii podtrzymującej, a u których istnieją udokumentowane przeciwwskazania do stosowania innych krótkotrwale działających </w:t>
            </w: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opioidów</w:t>
            </w:r>
            <w:proofErr w:type="spellEnd"/>
            <w:r w:rsidRPr="00045F37">
              <w:rPr>
                <w:rFonts w:ascii="Lato" w:hAnsi="Lato"/>
                <w:sz w:val="18"/>
                <w:szCs w:val="18"/>
              </w:rPr>
              <w:t xml:space="preserve"> lub stwierdzono nieskuteczność tych leków</w:t>
            </w:r>
          </w:p>
        </w:tc>
        <w:tc>
          <w:tcPr>
            <w:tcW w:w="5653" w:type="dxa"/>
            <w:vAlign w:val="center"/>
          </w:tcPr>
          <w:p w14:paraId="54E226E4" w14:textId="16202D9F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We wszystkich zarejestrowanych wskazaniach na dzień wydania decyzji</w:t>
            </w:r>
          </w:p>
        </w:tc>
      </w:tr>
      <w:tr w:rsidR="00402165" w:rsidRPr="00A05C45" w14:paraId="571B723B" w14:textId="77777777" w:rsidTr="006422E4">
        <w:tc>
          <w:tcPr>
            <w:tcW w:w="2689" w:type="dxa"/>
            <w:vAlign w:val="center"/>
          </w:tcPr>
          <w:p w14:paraId="5F2A35AE" w14:textId="007CCD8B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Fentanyl</w:t>
            </w:r>
            <w:r>
              <w:rPr>
                <w:rFonts w:ascii="Lato" w:hAnsi="Lato"/>
                <w:sz w:val="18"/>
                <w:szCs w:val="18"/>
              </w:rPr>
              <w:br/>
              <w:t xml:space="preserve">(systemy </w:t>
            </w:r>
            <w:proofErr w:type="spellStart"/>
            <w:r>
              <w:rPr>
                <w:rFonts w:ascii="Lato" w:hAnsi="Lato"/>
                <w:sz w:val="18"/>
                <w:szCs w:val="18"/>
              </w:rPr>
              <w:t>transdermalne</w:t>
            </w:r>
            <w:proofErr w:type="spellEnd"/>
            <w:r>
              <w:rPr>
                <w:rFonts w:ascii="Lato" w:hAnsi="Lato"/>
                <w:sz w:val="18"/>
                <w:szCs w:val="18"/>
              </w:rPr>
              <w:t>)</w:t>
            </w:r>
          </w:p>
        </w:tc>
        <w:tc>
          <w:tcPr>
            <w:tcW w:w="5652" w:type="dxa"/>
            <w:vAlign w:val="center"/>
          </w:tcPr>
          <w:p w14:paraId="715A2CA0" w14:textId="63F19030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402165">
              <w:rPr>
                <w:rFonts w:ascii="Lato" w:hAnsi="Lato"/>
                <w:sz w:val="18"/>
                <w:szCs w:val="18"/>
              </w:rPr>
              <w:t xml:space="preserve">Neuralgia </w:t>
            </w:r>
            <w:proofErr w:type="spellStart"/>
            <w:r w:rsidRPr="00402165">
              <w:rPr>
                <w:rFonts w:ascii="Lato" w:hAnsi="Lato"/>
                <w:sz w:val="18"/>
                <w:szCs w:val="18"/>
              </w:rPr>
              <w:t>popółpaścowa</w:t>
            </w:r>
            <w:proofErr w:type="spellEnd"/>
            <w:r w:rsidRPr="00402165">
              <w:rPr>
                <w:rFonts w:ascii="Lato" w:hAnsi="Lato"/>
                <w:sz w:val="18"/>
                <w:szCs w:val="18"/>
              </w:rPr>
              <w:t xml:space="preserve"> przewlekła; Nowotwory złośliwe; Wieloobjawowy miejscowy zespół bólowy typu I - odruchowa dystrofia współczulna oraz typu II – kauzalgia</w:t>
            </w:r>
          </w:p>
        </w:tc>
        <w:tc>
          <w:tcPr>
            <w:tcW w:w="5653" w:type="dxa"/>
            <w:vAlign w:val="center"/>
          </w:tcPr>
          <w:p w14:paraId="2B6EDCDA" w14:textId="4C4864D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We wszystkich zarejestrowanych wskazaniach na dzień wydania decyzji</w:t>
            </w:r>
          </w:p>
        </w:tc>
      </w:tr>
      <w:tr w:rsidR="00402165" w:rsidRPr="00A05C45" w14:paraId="30EEC2BF" w14:textId="77777777" w:rsidTr="006422E4">
        <w:tc>
          <w:tcPr>
            <w:tcW w:w="2689" w:type="dxa"/>
            <w:vAlign w:val="center"/>
          </w:tcPr>
          <w:p w14:paraId="6FA2EAD1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lastRenderedPageBreak/>
              <w:t>Metadon</w:t>
            </w:r>
          </w:p>
        </w:tc>
        <w:tc>
          <w:tcPr>
            <w:tcW w:w="5652" w:type="dxa"/>
            <w:vAlign w:val="center"/>
          </w:tcPr>
          <w:p w14:paraId="581749C9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Nowotwory złośliwe</w:t>
            </w:r>
          </w:p>
        </w:tc>
        <w:tc>
          <w:tcPr>
            <w:tcW w:w="5653" w:type="dxa"/>
            <w:vAlign w:val="center"/>
          </w:tcPr>
          <w:p w14:paraId="10769996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Umiarkowany lub silny ból, który nie może być skutecznie leczony nieopioidowymi lekami przeciwbólowymi; nowotwory złośliwe</w:t>
            </w:r>
          </w:p>
        </w:tc>
      </w:tr>
      <w:tr w:rsidR="00402165" w:rsidRPr="00A05C45" w14:paraId="2AD0BD10" w14:textId="77777777" w:rsidTr="006422E4">
        <w:tc>
          <w:tcPr>
            <w:tcW w:w="2689" w:type="dxa"/>
            <w:vAlign w:val="center"/>
          </w:tcPr>
          <w:p w14:paraId="1C9A88E1" w14:textId="77777777" w:rsidR="00402165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 xml:space="preserve">Morfina </w:t>
            </w:r>
          </w:p>
          <w:p w14:paraId="52B1D627" w14:textId="02F2184A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(doustna</w:t>
            </w:r>
            <w:r>
              <w:rPr>
                <w:rFonts w:ascii="Lato" w:hAnsi="Lato"/>
                <w:sz w:val="18"/>
                <w:szCs w:val="18"/>
              </w:rPr>
              <w:t xml:space="preserve"> forma stała i płynna</w:t>
            </w:r>
            <w:r w:rsidRPr="00045F37">
              <w:rPr>
                <w:rFonts w:ascii="Lato" w:hAnsi="Lato"/>
                <w:sz w:val="18"/>
                <w:szCs w:val="18"/>
              </w:rPr>
              <w:t>)</w:t>
            </w:r>
          </w:p>
        </w:tc>
        <w:tc>
          <w:tcPr>
            <w:tcW w:w="5652" w:type="dxa"/>
            <w:vAlign w:val="center"/>
          </w:tcPr>
          <w:p w14:paraId="0B717BED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 xml:space="preserve">Neuralgia </w:t>
            </w: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popółpaścowa</w:t>
            </w:r>
            <w:proofErr w:type="spellEnd"/>
            <w:r w:rsidRPr="00045F37">
              <w:rPr>
                <w:rFonts w:ascii="Lato" w:hAnsi="Lato"/>
                <w:sz w:val="18"/>
                <w:szCs w:val="18"/>
              </w:rPr>
              <w:t xml:space="preserve"> przewlekła; Wieloobjawowy miejscowy zespół bólowy typu I - odruchowa dystrofia współczulna oraz typu II – kauzalgia</w:t>
            </w:r>
          </w:p>
        </w:tc>
        <w:tc>
          <w:tcPr>
            <w:tcW w:w="5653" w:type="dxa"/>
            <w:vAlign w:val="center"/>
          </w:tcPr>
          <w:p w14:paraId="1BABD9D7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We wszystkich zarejestrowanych wskazaniach na dzień wydania decyzji</w:t>
            </w:r>
          </w:p>
        </w:tc>
      </w:tr>
      <w:tr w:rsidR="00402165" w:rsidRPr="00A05C45" w14:paraId="2FD5F113" w14:textId="77777777" w:rsidTr="006422E4">
        <w:tc>
          <w:tcPr>
            <w:tcW w:w="2689" w:type="dxa"/>
            <w:vAlign w:val="center"/>
          </w:tcPr>
          <w:p w14:paraId="24F1CBE2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Oksykodon</w:t>
            </w:r>
            <w:proofErr w:type="spellEnd"/>
          </w:p>
        </w:tc>
        <w:tc>
          <w:tcPr>
            <w:tcW w:w="5652" w:type="dxa"/>
            <w:vAlign w:val="center"/>
          </w:tcPr>
          <w:p w14:paraId="6B275200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 xml:space="preserve">Neuralgia </w:t>
            </w: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popółpaścowa</w:t>
            </w:r>
            <w:proofErr w:type="spellEnd"/>
            <w:r w:rsidRPr="00045F37">
              <w:rPr>
                <w:rFonts w:ascii="Lato" w:hAnsi="Lato"/>
                <w:sz w:val="18"/>
                <w:szCs w:val="18"/>
              </w:rPr>
              <w:t xml:space="preserve"> przewlekła; Nowotwory złośliwe; Wieloobjawowy miejscowy zespół bólowy typu I - odruchowa dystrofia współczulna oraz typu II – kauzalgia</w:t>
            </w:r>
          </w:p>
        </w:tc>
        <w:tc>
          <w:tcPr>
            <w:tcW w:w="5653" w:type="dxa"/>
            <w:vAlign w:val="center"/>
          </w:tcPr>
          <w:p w14:paraId="5E81ACFB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Nowotwory złośliwe</w:t>
            </w:r>
          </w:p>
        </w:tc>
      </w:tr>
      <w:tr w:rsidR="00402165" w:rsidRPr="00A05C45" w14:paraId="0A314102" w14:textId="77777777" w:rsidTr="006422E4">
        <w:tc>
          <w:tcPr>
            <w:tcW w:w="2689" w:type="dxa"/>
            <w:vAlign w:val="center"/>
          </w:tcPr>
          <w:p w14:paraId="3D8E4237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Oksykodon</w:t>
            </w:r>
            <w:proofErr w:type="spellEnd"/>
            <w:r w:rsidRPr="00045F37">
              <w:rPr>
                <w:rFonts w:ascii="Lato" w:hAnsi="Lato"/>
                <w:sz w:val="18"/>
                <w:szCs w:val="18"/>
              </w:rPr>
              <w:t xml:space="preserve"> + </w:t>
            </w: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nalokson</w:t>
            </w:r>
            <w:proofErr w:type="spellEnd"/>
          </w:p>
        </w:tc>
        <w:tc>
          <w:tcPr>
            <w:tcW w:w="5652" w:type="dxa"/>
            <w:vAlign w:val="center"/>
          </w:tcPr>
          <w:p w14:paraId="158F096E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 xml:space="preserve">Ból w przebiegu chorób nowotworowych – u pacjentów, u których występują zaparcia </w:t>
            </w: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poopioidowe</w:t>
            </w:r>
            <w:proofErr w:type="spellEnd"/>
          </w:p>
        </w:tc>
        <w:tc>
          <w:tcPr>
            <w:tcW w:w="5653" w:type="dxa"/>
            <w:vAlign w:val="center"/>
          </w:tcPr>
          <w:p w14:paraId="2B698572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 xml:space="preserve">Ból w przebiegu chorób nowotworowych i nienowotworowych – u pacjentów, u których występują zaparcia </w:t>
            </w: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poopioidowe</w:t>
            </w:r>
            <w:proofErr w:type="spellEnd"/>
          </w:p>
        </w:tc>
      </w:tr>
      <w:tr w:rsidR="00402165" w:rsidRPr="00A05C45" w14:paraId="464C5474" w14:textId="77777777" w:rsidTr="006422E4">
        <w:tc>
          <w:tcPr>
            <w:tcW w:w="2689" w:type="dxa"/>
            <w:vAlign w:val="center"/>
          </w:tcPr>
          <w:p w14:paraId="1E978DFF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proofErr w:type="spellStart"/>
            <w:r w:rsidRPr="00045F37">
              <w:rPr>
                <w:rFonts w:ascii="Lato" w:hAnsi="Lato"/>
                <w:sz w:val="18"/>
                <w:szCs w:val="18"/>
              </w:rPr>
              <w:t>Tapentadol</w:t>
            </w:r>
            <w:proofErr w:type="spellEnd"/>
          </w:p>
        </w:tc>
        <w:tc>
          <w:tcPr>
            <w:tcW w:w="5652" w:type="dxa"/>
            <w:vAlign w:val="center"/>
          </w:tcPr>
          <w:p w14:paraId="372F1FD1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Przewlekły ból o dużym nasileniu w przebiegu chorób nowotworowych - u dorosłych pacjentów, u których nie uzyskano odpowiedniej kontroli bólu po zastosowaniu morfiny o zmodyfikowanym lub przedłużonym uwalnianiu lub u których nie jest tolerowana</w:t>
            </w:r>
          </w:p>
        </w:tc>
        <w:tc>
          <w:tcPr>
            <w:tcW w:w="5653" w:type="dxa"/>
            <w:vAlign w:val="center"/>
          </w:tcPr>
          <w:p w14:paraId="25E466E6" w14:textId="77777777" w:rsidR="00402165" w:rsidRPr="00045F37" w:rsidRDefault="00402165" w:rsidP="00402165">
            <w:pPr>
              <w:spacing w:before="60" w:after="60"/>
              <w:jc w:val="center"/>
              <w:rPr>
                <w:rFonts w:ascii="Lato" w:hAnsi="Lato"/>
                <w:sz w:val="18"/>
                <w:szCs w:val="18"/>
              </w:rPr>
            </w:pPr>
            <w:r w:rsidRPr="00045F37">
              <w:rPr>
                <w:rFonts w:ascii="Lato" w:hAnsi="Lato"/>
                <w:sz w:val="18"/>
                <w:szCs w:val="18"/>
              </w:rPr>
              <w:t>We wszystkich zarejestrowanych wskazaniach na dzień wydania decyzji</w:t>
            </w:r>
          </w:p>
        </w:tc>
      </w:tr>
    </w:tbl>
    <w:p w14:paraId="5A6FFD98" w14:textId="77777777" w:rsidR="009C593F" w:rsidRDefault="009C593F" w:rsidP="000D65DF">
      <w:pPr>
        <w:spacing w:line="360" w:lineRule="auto"/>
        <w:jc w:val="both"/>
        <w:rPr>
          <w:rFonts w:ascii="Lato" w:hAnsi="Lato"/>
        </w:rPr>
      </w:pPr>
    </w:p>
    <w:p w14:paraId="7EEC8216" w14:textId="77777777" w:rsidR="009C593F" w:rsidRDefault="009C593F" w:rsidP="000D65DF">
      <w:pPr>
        <w:spacing w:line="360" w:lineRule="auto"/>
        <w:jc w:val="both"/>
        <w:rPr>
          <w:rFonts w:ascii="Lato" w:hAnsi="Lato"/>
        </w:rPr>
      </w:pPr>
    </w:p>
    <w:p w14:paraId="73439078" w14:textId="2D664F12" w:rsidR="00402165" w:rsidRPr="00402165" w:rsidRDefault="00402165" w:rsidP="009C593F">
      <w:pPr>
        <w:suppressAutoHyphens w:val="0"/>
        <w:rPr>
          <w:rFonts w:ascii="Lato" w:hAnsi="Lato"/>
          <w:b/>
          <w:bCs/>
          <w:color w:val="00B0F0"/>
          <w:sz w:val="28"/>
          <w:szCs w:val="28"/>
        </w:rPr>
      </w:pPr>
      <w:r w:rsidRPr="00402165">
        <w:rPr>
          <w:rFonts w:ascii="Lato" w:hAnsi="Lato"/>
          <w:b/>
          <w:bCs/>
          <w:color w:val="00B0F0"/>
          <w:sz w:val="28"/>
          <w:szCs w:val="28"/>
        </w:rPr>
        <w:t>ROZSZERZENIE WSKAZAŃ POZAREJESTRACYJNYCH (OFF-LABEL) LEKÓW STOSOWANYCH W PSYCHIATRII</w:t>
      </w:r>
    </w:p>
    <w:p w14:paraId="020A44D5" w14:textId="50282F81" w:rsidR="00402165" w:rsidRPr="00402165" w:rsidRDefault="00402165" w:rsidP="00402165">
      <w:pPr>
        <w:suppressAutoHyphens w:val="0"/>
        <w:spacing w:line="360" w:lineRule="auto"/>
        <w:jc w:val="both"/>
        <w:rPr>
          <w:rFonts w:ascii="Lato" w:hAnsi="Lato"/>
          <w:b/>
          <w:bCs/>
        </w:rPr>
      </w:pPr>
      <w:r>
        <w:rPr>
          <w:rFonts w:ascii="Lato" w:hAnsi="Lato"/>
        </w:rPr>
        <w:t>O</w:t>
      </w:r>
      <w:r w:rsidRPr="00402165">
        <w:rPr>
          <w:rFonts w:ascii="Lato" w:hAnsi="Lato"/>
        </w:rPr>
        <w:t xml:space="preserve">bjęcie refundacją lub poszerzenie wskazań </w:t>
      </w:r>
      <w:proofErr w:type="spellStart"/>
      <w:r w:rsidRPr="00402165">
        <w:rPr>
          <w:rFonts w:ascii="Lato" w:hAnsi="Lato"/>
        </w:rPr>
        <w:t>pozarejestracyjnych</w:t>
      </w:r>
      <w:proofErr w:type="spellEnd"/>
      <w:r w:rsidRPr="00402165">
        <w:rPr>
          <w:rFonts w:ascii="Lato" w:hAnsi="Lato"/>
        </w:rPr>
        <w:t xml:space="preserve"> dla </w:t>
      </w:r>
      <w:r w:rsidRPr="00402165">
        <w:rPr>
          <w:rFonts w:ascii="Lato" w:hAnsi="Lato"/>
          <w:b/>
          <w:bCs/>
        </w:rPr>
        <w:t xml:space="preserve">doustnych leków </w:t>
      </w:r>
      <w:proofErr w:type="spellStart"/>
      <w:r w:rsidRPr="00402165">
        <w:rPr>
          <w:rFonts w:ascii="Lato" w:hAnsi="Lato"/>
          <w:b/>
          <w:bCs/>
        </w:rPr>
        <w:t>przeciwpsychotycznych</w:t>
      </w:r>
      <w:proofErr w:type="spellEnd"/>
      <w:r w:rsidRPr="00402165">
        <w:rPr>
          <w:rFonts w:ascii="Lato" w:hAnsi="Lato"/>
        </w:rPr>
        <w:t xml:space="preserve"> zawierających 7 </w:t>
      </w:r>
      <w:proofErr w:type="gramStart"/>
      <w:r w:rsidRPr="00402165">
        <w:rPr>
          <w:rFonts w:ascii="Lato" w:hAnsi="Lato"/>
        </w:rPr>
        <w:t>substancji  czynnych</w:t>
      </w:r>
      <w:proofErr w:type="gramEnd"/>
      <w:r w:rsidRPr="00402165">
        <w:rPr>
          <w:rFonts w:ascii="Lato" w:hAnsi="Lato"/>
        </w:rPr>
        <w:t xml:space="preserve"> (</w:t>
      </w:r>
      <w:proofErr w:type="spellStart"/>
      <w:r w:rsidRPr="00402165">
        <w:rPr>
          <w:rFonts w:ascii="Lato" w:hAnsi="Lato"/>
          <w:i/>
          <w:iCs/>
        </w:rPr>
        <w:t>amisulprid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aripiprazol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kwetiapina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olanzapina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risperidon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sertindol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ziprasidon</w:t>
      </w:r>
      <w:proofErr w:type="spellEnd"/>
      <w:r w:rsidRPr="00402165">
        <w:rPr>
          <w:rFonts w:ascii="Lato" w:hAnsi="Lato"/>
        </w:rPr>
        <w:t xml:space="preserve">), refundowanych dotychczas we wskazaniach rejestracyjnych </w:t>
      </w:r>
      <w:r w:rsidRPr="00402165">
        <w:rPr>
          <w:rFonts w:ascii="Lato" w:hAnsi="Lato"/>
          <w:i/>
          <w:iCs/>
        </w:rPr>
        <w:t>Schizofrenia, Choroba Afektywna Dwubiegunowa</w:t>
      </w:r>
      <w:r w:rsidRPr="00402165">
        <w:rPr>
          <w:rFonts w:ascii="Lato" w:hAnsi="Lato"/>
        </w:rPr>
        <w:t xml:space="preserve">, celem  finansowania ze środków publicznych terapii zaburzeń </w:t>
      </w:r>
      <w:proofErr w:type="spellStart"/>
      <w:r w:rsidRPr="00402165">
        <w:rPr>
          <w:rFonts w:ascii="Lato" w:hAnsi="Lato"/>
        </w:rPr>
        <w:t>schizoafektywnych</w:t>
      </w:r>
      <w:proofErr w:type="spellEnd"/>
      <w:r w:rsidRPr="00402165">
        <w:rPr>
          <w:rFonts w:ascii="Lato" w:hAnsi="Lato"/>
        </w:rPr>
        <w:t xml:space="preserve"> zdefiniowanych kodami ICD-10: F21; F22; F23; F24; F25; F28; F29</w:t>
      </w:r>
      <w:r>
        <w:rPr>
          <w:rFonts w:ascii="Lato" w:hAnsi="Lato"/>
        </w:rPr>
        <w:t>.</w:t>
      </w:r>
    </w:p>
    <w:p w14:paraId="5EFF4EF5" w14:textId="6226F927" w:rsidR="00402165" w:rsidRPr="00402165" w:rsidRDefault="00402165" w:rsidP="00402165">
      <w:pPr>
        <w:suppressAutoHyphens w:val="0"/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Ponadto, od października 2024 r. nastąpi </w:t>
      </w:r>
      <w:r w:rsidRPr="00402165">
        <w:rPr>
          <w:rFonts w:ascii="Lato" w:hAnsi="Lato"/>
        </w:rPr>
        <w:t xml:space="preserve">rozszerzenie wskazań </w:t>
      </w:r>
      <w:proofErr w:type="spellStart"/>
      <w:r w:rsidRPr="00402165">
        <w:rPr>
          <w:rFonts w:ascii="Lato" w:hAnsi="Lato"/>
        </w:rPr>
        <w:t>pozarejestracyjnych</w:t>
      </w:r>
      <w:proofErr w:type="spellEnd"/>
      <w:r w:rsidRPr="00402165">
        <w:rPr>
          <w:rFonts w:ascii="Lato" w:hAnsi="Lato"/>
        </w:rPr>
        <w:t xml:space="preserve"> dla </w:t>
      </w:r>
      <w:r w:rsidRPr="00402165">
        <w:rPr>
          <w:rFonts w:ascii="Lato" w:hAnsi="Lato"/>
          <w:b/>
          <w:bCs/>
        </w:rPr>
        <w:t>wybranych substancji czynnych stosowanych w psychiatrii dzieci i młodzieży</w:t>
      </w:r>
      <w:r w:rsidRPr="00402165">
        <w:rPr>
          <w:rFonts w:ascii="Lato" w:hAnsi="Lato"/>
        </w:rPr>
        <w:t xml:space="preserve">, dotychczas refundowanych w określonych stanach klinicznych, w oparciu o efekt współpracy AOTMiT i zespołu ekspertów klinicznych pod przewodnictwem Konsultant Krajowej ds. Psychiatrii Dzieci i Młodzieży. Zakres dodanych wskazań </w:t>
      </w:r>
      <w:proofErr w:type="spellStart"/>
      <w:r w:rsidRPr="00402165">
        <w:rPr>
          <w:rFonts w:ascii="Lato" w:hAnsi="Lato"/>
        </w:rPr>
        <w:t>pozarejestracyjnych</w:t>
      </w:r>
      <w:proofErr w:type="spellEnd"/>
      <w:r w:rsidRPr="00402165">
        <w:rPr>
          <w:rFonts w:ascii="Lato" w:hAnsi="Lato"/>
        </w:rPr>
        <w:t xml:space="preserve"> obejmuje:</w:t>
      </w:r>
    </w:p>
    <w:p w14:paraId="0384F3F6" w14:textId="77777777" w:rsidR="00402165" w:rsidRPr="00402165" w:rsidRDefault="00402165" w:rsidP="00402165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Fonts w:ascii="Lato" w:hAnsi="Lato"/>
          <w:i/>
          <w:iCs/>
        </w:rPr>
      </w:pPr>
      <w:r w:rsidRPr="00402165">
        <w:rPr>
          <w:rFonts w:ascii="Lato" w:hAnsi="Lato"/>
          <w:i/>
          <w:iCs/>
        </w:rPr>
        <w:lastRenderedPageBreak/>
        <w:t xml:space="preserve">Depresja lub zaburzenia depresyjne (F32; F33; F34; F38; F39 wg ICD - 10) - do ukończenia 18 r.ż. </w:t>
      </w:r>
      <w:r w:rsidRPr="00402165">
        <w:rPr>
          <w:rFonts w:ascii="Lato" w:hAnsi="Lato"/>
        </w:rPr>
        <w:t>(dotyczy:</w:t>
      </w:r>
      <w:r w:rsidRPr="00402165">
        <w:rPr>
          <w:rFonts w:ascii="Lato" w:hAnsi="Lato"/>
          <w:i/>
          <w:iCs/>
        </w:rPr>
        <w:t xml:space="preserve"> </w:t>
      </w:r>
      <w:proofErr w:type="spellStart"/>
      <w:r w:rsidRPr="00402165">
        <w:rPr>
          <w:rFonts w:ascii="Lato" w:hAnsi="Lato"/>
          <w:i/>
          <w:iCs/>
        </w:rPr>
        <w:t>agomelatyna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aripiprazol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kwetiapina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risperidon</w:t>
      </w:r>
      <w:proofErr w:type="spellEnd"/>
      <w:r w:rsidRPr="00402165">
        <w:rPr>
          <w:rFonts w:ascii="Lato" w:hAnsi="Lato"/>
        </w:rPr>
        <w:t>),</w:t>
      </w:r>
    </w:p>
    <w:p w14:paraId="1E8FDE84" w14:textId="77777777" w:rsidR="00402165" w:rsidRPr="00402165" w:rsidRDefault="00402165" w:rsidP="00402165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Fonts w:ascii="Lato" w:hAnsi="Lato"/>
          <w:i/>
          <w:iCs/>
        </w:rPr>
      </w:pPr>
      <w:r w:rsidRPr="00402165">
        <w:rPr>
          <w:rFonts w:ascii="Lato" w:hAnsi="Lato"/>
          <w:i/>
          <w:iCs/>
        </w:rPr>
        <w:t xml:space="preserve">Zaburzenia obsesyjno-kompulsywne (F42 wg ICD - 10) - do ukończenia 18 r.ż. </w:t>
      </w:r>
      <w:r w:rsidRPr="00402165">
        <w:rPr>
          <w:rFonts w:ascii="Lato" w:hAnsi="Lato"/>
        </w:rPr>
        <w:t>(dotyczy:</w:t>
      </w:r>
      <w:r w:rsidRPr="00402165">
        <w:rPr>
          <w:rFonts w:ascii="Lato" w:hAnsi="Lato"/>
          <w:i/>
          <w:iCs/>
        </w:rPr>
        <w:t xml:space="preserve"> </w:t>
      </w:r>
      <w:proofErr w:type="spellStart"/>
      <w:r w:rsidRPr="00402165">
        <w:rPr>
          <w:rFonts w:ascii="Lato" w:hAnsi="Lato"/>
          <w:i/>
          <w:iCs/>
        </w:rPr>
        <w:t>aripiprazol</w:t>
      </w:r>
      <w:proofErr w:type="spellEnd"/>
      <w:r w:rsidRPr="00402165">
        <w:rPr>
          <w:rFonts w:ascii="Lato" w:hAnsi="Lato"/>
        </w:rPr>
        <w:t>),</w:t>
      </w:r>
    </w:p>
    <w:p w14:paraId="10581FA2" w14:textId="77777777" w:rsidR="00402165" w:rsidRPr="00402165" w:rsidRDefault="00402165" w:rsidP="00402165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Fonts w:ascii="Lato" w:hAnsi="Lato"/>
        </w:rPr>
      </w:pPr>
      <w:r w:rsidRPr="00402165">
        <w:rPr>
          <w:rFonts w:ascii="Lato" w:hAnsi="Lato"/>
          <w:i/>
          <w:iCs/>
        </w:rPr>
        <w:t xml:space="preserve">Zaburzenia lękowe i adaptacyjne (F40; F41; F43 wg ICD - </w:t>
      </w:r>
      <w:proofErr w:type="gramStart"/>
      <w:r w:rsidRPr="00402165">
        <w:rPr>
          <w:rFonts w:ascii="Lato" w:hAnsi="Lato"/>
          <w:i/>
          <w:iCs/>
        </w:rPr>
        <w:t>10)-</w:t>
      </w:r>
      <w:proofErr w:type="gramEnd"/>
      <w:r w:rsidRPr="00402165">
        <w:rPr>
          <w:rFonts w:ascii="Lato" w:hAnsi="Lato"/>
          <w:i/>
          <w:iCs/>
        </w:rPr>
        <w:t xml:space="preserve"> do ukończenia 18 r.ż. </w:t>
      </w:r>
      <w:r w:rsidRPr="00402165">
        <w:rPr>
          <w:rFonts w:ascii="Lato" w:hAnsi="Lato"/>
        </w:rPr>
        <w:t xml:space="preserve">(dotyczy: </w:t>
      </w:r>
      <w:proofErr w:type="spellStart"/>
      <w:r w:rsidRPr="00402165">
        <w:rPr>
          <w:rFonts w:ascii="Lato" w:hAnsi="Lato"/>
          <w:i/>
          <w:iCs/>
        </w:rPr>
        <w:t>duloksetyna</w:t>
      </w:r>
      <w:proofErr w:type="spellEnd"/>
      <w:r w:rsidRPr="00402165">
        <w:rPr>
          <w:rFonts w:ascii="Lato" w:hAnsi="Lato"/>
        </w:rPr>
        <w:t>),</w:t>
      </w:r>
    </w:p>
    <w:p w14:paraId="1FC24DBD" w14:textId="77777777" w:rsidR="00402165" w:rsidRPr="00402165" w:rsidRDefault="00402165" w:rsidP="00402165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Fonts w:ascii="Lato" w:hAnsi="Lato"/>
          <w:i/>
          <w:iCs/>
        </w:rPr>
      </w:pPr>
      <w:r w:rsidRPr="00402165">
        <w:rPr>
          <w:rFonts w:ascii="Lato" w:hAnsi="Lato"/>
          <w:i/>
          <w:iCs/>
        </w:rPr>
        <w:t xml:space="preserve">Jadłowstręt psychiczny (F50.0; F50.1 wg ICD - 10) - do ukończenia 18 r.ż. </w:t>
      </w:r>
      <w:r w:rsidRPr="00402165">
        <w:rPr>
          <w:rFonts w:ascii="Lato" w:hAnsi="Lato"/>
        </w:rPr>
        <w:t xml:space="preserve">(dotyczy: </w:t>
      </w:r>
      <w:proofErr w:type="spellStart"/>
      <w:r w:rsidRPr="00402165">
        <w:rPr>
          <w:rFonts w:ascii="Lato" w:hAnsi="Lato"/>
          <w:i/>
          <w:iCs/>
        </w:rPr>
        <w:t>olanzapina</w:t>
      </w:r>
      <w:proofErr w:type="spellEnd"/>
      <w:r w:rsidRPr="00402165">
        <w:rPr>
          <w:rFonts w:ascii="Lato" w:hAnsi="Lato"/>
        </w:rPr>
        <w:t>),</w:t>
      </w:r>
    </w:p>
    <w:p w14:paraId="7C2D14DD" w14:textId="77777777" w:rsidR="00402165" w:rsidRPr="00E0315B" w:rsidRDefault="00402165" w:rsidP="00402165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Fonts w:ascii="Lato" w:hAnsi="Lato"/>
          <w:i/>
          <w:iCs/>
        </w:rPr>
      </w:pPr>
      <w:r w:rsidRPr="00402165">
        <w:rPr>
          <w:rFonts w:ascii="Lato" w:hAnsi="Lato"/>
          <w:i/>
          <w:iCs/>
        </w:rPr>
        <w:t xml:space="preserve">Tiki (F95.0; F95.1; F95.8; F95.9 wg ICD - 10) - do ukończenia 18 r.ż. </w:t>
      </w:r>
      <w:r w:rsidRPr="00402165">
        <w:rPr>
          <w:rFonts w:ascii="Lato" w:hAnsi="Lato"/>
        </w:rPr>
        <w:t xml:space="preserve">(dotyczy: </w:t>
      </w:r>
      <w:proofErr w:type="spellStart"/>
      <w:r w:rsidRPr="00402165">
        <w:rPr>
          <w:rFonts w:ascii="Lato" w:hAnsi="Lato"/>
          <w:i/>
          <w:iCs/>
        </w:rPr>
        <w:t>aripiprazol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risperidon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sulpiryd</w:t>
      </w:r>
      <w:proofErr w:type="spellEnd"/>
      <w:r w:rsidRPr="00402165">
        <w:rPr>
          <w:rFonts w:ascii="Lato" w:hAnsi="Lato"/>
          <w:i/>
          <w:iCs/>
        </w:rPr>
        <w:t xml:space="preserve">, </w:t>
      </w:r>
      <w:proofErr w:type="spellStart"/>
      <w:r w:rsidRPr="00402165">
        <w:rPr>
          <w:rFonts w:ascii="Lato" w:hAnsi="Lato"/>
          <w:i/>
          <w:iCs/>
        </w:rPr>
        <w:t>ziprasidon</w:t>
      </w:r>
      <w:proofErr w:type="spellEnd"/>
      <w:r w:rsidRPr="00402165">
        <w:rPr>
          <w:rFonts w:ascii="Lato" w:hAnsi="Lato"/>
        </w:rPr>
        <w:t xml:space="preserve">). </w:t>
      </w:r>
    </w:p>
    <w:p w14:paraId="1E07313E" w14:textId="79C997BE" w:rsidR="00E0315B" w:rsidRPr="00E0315B" w:rsidRDefault="00E0315B" w:rsidP="00E0315B">
      <w:pPr>
        <w:suppressAutoHyphens w:val="0"/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>Implementacja powyższych zmian w psychiatrii związana była z koniecznością wydania ponad 600 dodatkowych decyzji refundacyjnych.</w:t>
      </w:r>
    </w:p>
    <w:p w14:paraId="6507B1F9" w14:textId="77777777" w:rsidR="00402165" w:rsidRPr="00AB3591" w:rsidRDefault="00402165" w:rsidP="000D65DF">
      <w:pPr>
        <w:spacing w:line="360" w:lineRule="auto"/>
        <w:jc w:val="both"/>
        <w:rPr>
          <w:rFonts w:ascii="Lato" w:hAnsi="Lato"/>
        </w:rPr>
      </w:pPr>
    </w:p>
    <w:sectPr w:rsidR="00402165" w:rsidRPr="00AB3591" w:rsidSect="001E27D2"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933ED" w14:textId="77777777" w:rsidR="00D46C79" w:rsidRDefault="00D46C79">
      <w:pPr>
        <w:spacing w:after="0" w:line="240" w:lineRule="auto"/>
      </w:pPr>
      <w:r>
        <w:separator/>
      </w:r>
    </w:p>
  </w:endnote>
  <w:endnote w:type="continuationSeparator" w:id="0">
    <w:p w14:paraId="39C563D8" w14:textId="77777777" w:rsidR="00D46C79" w:rsidRDefault="00D4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79360" w14:textId="77777777" w:rsidR="00D46C79" w:rsidRDefault="00D46C7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6BC0CB" w14:textId="77777777" w:rsidR="00D46C79" w:rsidRDefault="00D46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F36CF" w14:textId="4633511D" w:rsidR="005058F2" w:rsidRDefault="00143D0B">
    <w:pPr>
      <w:pStyle w:val="Nagwek"/>
    </w:pPr>
    <w:bookmarkStart w:id="3" w:name="_Hlk74147372"/>
    <w:bookmarkEnd w:id="3"/>
    <w:r>
      <w:rPr>
        <w:noProof/>
        <w:lang w:eastAsia="pl-PL"/>
      </w:rPr>
      <w:drawing>
        <wp:inline distT="0" distB="0" distL="0" distR="0" wp14:anchorId="39BB8D04" wp14:editId="6B1DB73B">
          <wp:extent cx="2381885" cy="106172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8188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F19D3"/>
    <w:multiLevelType w:val="hybridMultilevel"/>
    <w:tmpl w:val="E6A4E41E"/>
    <w:lvl w:ilvl="0" w:tplc="07C0B9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FB5BDA"/>
    <w:multiLevelType w:val="hybridMultilevel"/>
    <w:tmpl w:val="C7B02F50"/>
    <w:lvl w:ilvl="0" w:tplc="612C287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163CA"/>
    <w:multiLevelType w:val="hybridMultilevel"/>
    <w:tmpl w:val="0DE0BC64"/>
    <w:lvl w:ilvl="0" w:tplc="CEC4EFEE">
      <w:start w:val="1"/>
      <w:numFmt w:val="bullet"/>
      <w:lvlText w:val="•"/>
      <w:lvlJc w:val="left"/>
      <w:pPr>
        <w:ind w:left="1049" w:firstLine="22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0D2743CD"/>
    <w:multiLevelType w:val="hybridMultilevel"/>
    <w:tmpl w:val="C2FA7544"/>
    <w:lvl w:ilvl="0" w:tplc="04150001">
      <w:start w:val="1"/>
      <w:numFmt w:val="bullet"/>
      <w:lvlText w:val=""/>
      <w:lvlJc w:val="left"/>
      <w:pPr>
        <w:ind w:left="-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</w:abstractNum>
  <w:abstractNum w:abstractNumId="4" w15:restartNumberingAfterBreak="0">
    <w:nsid w:val="0DA63CDA"/>
    <w:multiLevelType w:val="hybridMultilevel"/>
    <w:tmpl w:val="67A6E612"/>
    <w:lvl w:ilvl="0" w:tplc="046E296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FE0EDD"/>
    <w:multiLevelType w:val="hybridMultilevel"/>
    <w:tmpl w:val="AD006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F2875"/>
    <w:multiLevelType w:val="hybridMultilevel"/>
    <w:tmpl w:val="1EC49BCA"/>
    <w:lvl w:ilvl="0" w:tplc="5A3E6A7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A078A"/>
    <w:multiLevelType w:val="hybridMultilevel"/>
    <w:tmpl w:val="ACEE9582"/>
    <w:lvl w:ilvl="0" w:tplc="0E8C5E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83431"/>
    <w:multiLevelType w:val="hybridMultilevel"/>
    <w:tmpl w:val="ABB6E3FC"/>
    <w:lvl w:ilvl="0" w:tplc="FC02698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42910"/>
    <w:multiLevelType w:val="hybridMultilevel"/>
    <w:tmpl w:val="10004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57CAC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E346AD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5514ACD"/>
    <w:multiLevelType w:val="hybridMultilevel"/>
    <w:tmpl w:val="E0D4C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91E53"/>
    <w:multiLevelType w:val="hybridMultilevel"/>
    <w:tmpl w:val="E0781596"/>
    <w:lvl w:ilvl="0" w:tplc="FC02698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12C3B"/>
    <w:multiLevelType w:val="hybridMultilevel"/>
    <w:tmpl w:val="1B46C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75666"/>
    <w:multiLevelType w:val="hybridMultilevel"/>
    <w:tmpl w:val="A4F85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4F3043"/>
    <w:multiLevelType w:val="hybridMultilevel"/>
    <w:tmpl w:val="7F041AF0"/>
    <w:lvl w:ilvl="0" w:tplc="07E64A30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7" w15:restartNumberingAfterBreak="0">
    <w:nsid w:val="393F60CD"/>
    <w:multiLevelType w:val="hybridMultilevel"/>
    <w:tmpl w:val="75800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E0B82"/>
    <w:multiLevelType w:val="hybridMultilevel"/>
    <w:tmpl w:val="386CF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C6885"/>
    <w:multiLevelType w:val="hybridMultilevel"/>
    <w:tmpl w:val="0B8EC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12DB4"/>
    <w:multiLevelType w:val="hybridMultilevel"/>
    <w:tmpl w:val="0F0EE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40582"/>
    <w:multiLevelType w:val="hybridMultilevel"/>
    <w:tmpl w:val="19703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07CA0"/>
    <w:multiLevelType w:val="hybridMultilevel"/>
    <w:tmpl w:val="A0F424B8"/>
    <w:lvl w:ilvl="0" w:tplc="8A88F7A0">
      <w:start w:val="1"/>
      <w:numFmt w:val="bullet"/>
      <w:lvlText w:val=""/>
      <w:lvlJc w:val="left"/>
      <w:pPr>
        <w:ind w:left="56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076C3"/>
    <w:multiLevelType w:val="hybridMultilevel"/>
    <w:tmpl w:val="ED322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F6E8B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4EBA728E"/>
    <w:multiLevelType w:val="hybridMultilevel"/>
    <w:tmpl w:val="1748AC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72792B"/>
    <w:multiLevelType w:val="hybridMultilevel"/>
    <w:tmpl w:val="75AA86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B03E5C"/>
    <w:multiLevelType w:val="hybridMultilevel"/>
    <w:tmpl w:val="FF32B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FF5C7F"/>
    <w:multiLevelType w:val="hybridMultilevel"/>
    <w:tmpl w:val="5AF27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02E3E"/>
    <w:multiLevelType w:val="hybridMultilevel"/>
    <w:tmpl w:val="824E7FF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3F0D0B"/>
    <w:multiLevelType w:val="hybridMultilevel"/>
    <w:tmpl w:val="3A2E6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94C8D"/>
    <w:multiLevelType w:val="hybridMultilevel"/>
    <w:tmpl w:val="10004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03EA2"/>
    <w:multiLevelType w:val="hybridMultilevel"/>
    <w:tmpl w:val="A63E2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70DA6"/>
    <w:multiLevelType w:val="hybridMultilevel"/>
    <w:tmpl w:val="77F46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97E73"/>
    <w:multiLevelType w:val="hybridMultilevel"/>
    <w:tmpl w:val="242ABB08"/>
    <w:lvl w:ilvl="0" w:tplc="3ED024B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4478E"/>
    <w:multiLevelType w:val="hybridMultilevel"/>
    <w:tmpl w:val="AF20E1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D6190"/>
    <w:multiLevelType w:val="hybridMultilevel"/>
    <w:tmpl w:val="2884C962"/>
    <w:lvl w:ilvl="0" w:tplc="041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24C5B"/>
    <w:multiLevelType w:val="hybridMultilevel"/>
    <w:tmpl w:val="01F6A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068946">
    <w:abstractNumId w:val="9"/>
  </w:num>
  <w:num w:numId="2" w16cid:durableId="983047750">
    <w:abstractNumId w:val="6"/>
  </w:num>
  <w:num w:numId="3" w16cid:durableId="912206815">
    <w:abstractNumId w:val="10"/>
  </w:num>
  <w:num w:numId="4" w16cid:durableId="19192415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3262071">
    <w:abstractNumId w:val="31"/>
  </w:num>
  <w:num w:numId="6" w16cid:durableId="1164782895">
    <w:abstractNumId w:val="8"/>
  </w:num>
  <w:num w:numId="7" w16cid:durableId="1764568987">
    <w:abstractNumId w:val="13"/>
  </w:num>
  <w:num w:numId="8" w16cid:durableId="1605840971">
    <w:abstractNumId w:val="16"/>
  </w:num>
  <w:num w:numId="9" w16cid:durableId="969629549">
    <w:abstractNumId w:val="28"/>
  </w:num>
  <w:num w:numId="10" w16cid:durableId="1576276737">
    <w:abstractNumId w:val="3"/>
  </w:num>
  <w:num w:numId="11" w16cid:durableId="409036424">
    <w:abstractNumId w:val="37"/>
  </w:num>
  <w:num w:numId="12" w16cid:durableId="1526747669">
    <w:abstractNumId w:val="5"/>
  </w:num>
  <w:num w:numId="13" w16cid:durableId="1746950255">
    <w:abstractNumId w:val="17"/>
  </w:num>
  <w:num w:numId="14" w16cid:durableId="329715522">
    <w:abstractNumId w:val="19"/>
  </w:num>
  <w:num w:numId="15" w16cid:durableId="1837842867">
    <w:abstractNumId w:val="18"/>
  </w:num>
  <w:num w:numId="16" w16cid:durableId="1970238000">
    <w:abstractNumId w:val="30"/>
  </w:num>
  <w:num w:numId="17" w16cid:durableId="485172914">
    <w:abstractNumId w:val="24"/>
  </w:num>
  <w:num w:numId="18" w16cid:durableId="338780148">
    <w:abstractNumId w:val="11"/>
  </w:num>
  <w:num w:numId="19" w16cid:durableId="1977641737">
    <w:abstractNumId w:val="3"/>
  </w:num>
  <w:num w:numId="20" w16cid:durableId="1099830501">
    <w:abstractNumId w:val="2"/>
  </w:num>
  <w:num w:numId="21" w16cid:durableId="1796680411">
    <w:abstractNumId w:val="26"/>
  </w:num>
  <w:num w:numId="22" w16cid:durableId="1157845039">
    <w:abstractNumId w:val="25"/>
  </w:num>
  <w:num w:numId="23" w16cid:durableId="1318220489">
    <w:abstractNumId w:val="21"/>
  </w:num>
  <w:num w:numId="24" w16cid:durableId="791442922">
    <w:abstractNumId w:val="27"/>
  </w:num>
  <w:num w:numId="25" w16cid:durableId="2017875421">
    <w:abstractNumId w:val="20"/>
  </w:num>
  <w:num w:numId="26" w16cid:durableId="980844193">
    <w:abstractNumId w:val="15"/>
  </w:num>
  <w:num w:numId="27" w16cid:durableId="1580867898">
    <w:abstractNumId w:val="23"/>
  </w:num>
  <w:num w:numId="28" w16cid:durableId="108477893">
    <w:abstractNumId w:val="29"/>
  </w:num>
  <w:num w:numId="29" w16cid:durableId="1809199527">
    <w:abstractNumId w:val="36"/>
  </w:num>
  <w:num w:numId="30" w16cid:durableId="210698488">
    <w:abstractNumId w:val="32"/>
  </w:num>
  <w:num w:numId="31" w16cid:durableId="1342464460">
    <w:abstractNumId w:val="12"/>
  </w:num>
  <w:num w:numId="32" w16cid:durableId="2066639270">
    <w:abstractNumId w:val="22"/>
  </w:num>
  <w:num w:numId="33" w16cid:durableId="603922596">
    <w:abstractNumId w:val="33"/>
  </w:num>
  <w:num w:numId="34" w16cid:durableId="302273013">
    <w:abstractNumId w:val="35"/>
  </w:num>
  <w:num w:numId="35" w16cid:durableId="1906723298">
    <w:abstractNumId w:val="34"/>
  </w:num>
  <w:num w:numId="36" w16cid:durableId="2058164342">
    <w:abstractNumId w:val="14"/>
  </w:num>
  <w:num w:numId="37" w16cid:durableId="1907494772">
    <w:abstractNumId w:val="7"/>
  </w:num>
  <w:num w:numId="38" w16cid:durableId="1687100447">
    <w:abstractNumId w:val="1"/>
  </w:num>
  <w:num w:numId="39" w16cid:durableId="1654093875">
    <w:abstractNumId w:val="0"/>
  </w:num>
  <w:num w:numId="40" w16cid:durableId="7224138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8C5"/>
    <w:rsid w:val="00006AE8"/>
    <w:rsid w:val="00007B52"/>
    <w:rsid w:val="00031E9F"/>
    <w:rsid w:val="00033ED5"/>
    <w:rsid w:val="000340F0"/>
    <w:rsid w:val="000364D0"/>
    <w:rsid w:val="0004009C"/>
    <w:rsid w:val="0005011B"/>
    <w:rsid w:val="00052E44"/>
    <w:rsid w:val="000702E4"/>
    <w:rsid w:val="00070A13"/>
    <w:rsid w:val="00070A89"/>
    <w:rsid w:val="00071A55"/>
    <w:rsid w:val="0008118E"/>
    <w:rsid w:val="00086074"/>
    <w:rsid w:val="00090759"/>
    <w:rsid w:val="0009112E"/>
    <w:rsid w:val="00097B17"/>
    <w:rsid w:val="000A4576"/>
    <w:rsid w:val="000A4E7C"/>
    <w:rsid w:val="000A688D"/>
    <w:rsid w:val="000A6B96"/>
    <w:rsid w:val="000B07C1"/>
    <w:rsid w:val="000B21F0"/>
    <w:rsid w:val="000B32C4"/>
    <w:rsid w:val="000B3740"/>
    <w:rsid w:val="000B4286"/>
    <w:rsid w:val="000B7075"/>
    <w:rsid w:val="000D02C0"/>
    <w:rsid w:val="000D2FED"/>
    <w:rsid w:val="000D65DF"/>
    <w:rsid w:val="000E3BBE"/>
    <w:rsid w:val="000E649C"/>
    <w:rsid w:val="000F077F"/>
    <w:rsid w:val="000F3ED2"/>
    <w:rsid w:val="000F5E24"/>
    <w:rsid w:val="000F61F5"/>
    <w:rsid w:val="001030B2"/>
    <w:rsid w:val="00111FD4"/>
    <w:rsid w:val="0011263C"/>
    <w:rsid w:val="001204EA"/>
    <w:rsid w:val="00120C1F"/>
    <w:rsid w:val="00127452"/>
    <w:rsid w:val="0014005D"/>
    <w:rsid w:val="0014120D"/>
    <w:rsid w:val="00143B25"/>
    <w:rsid w:val="00143D0B"/>
    <w:rsid w:val="00144B55"/>
    <w:rsid w:val="00155C8E"/>
    <w:rsid w:val="001566B9"/>
    <w:rsid w:val="00161605"/>
    <w:rsid w:val="00170D7F"/>
    <w:rsid w:val="00172790"/>
    <w:rsid w:val="00173D8E"/>
    <w:rsid w:val="00180F5C"/>
    <w:rsid w:val="00186CB7"/>
    <w:rsid w:val="00190358"/>
    <w:rsid w:val="001933DE"/>
    <w:rsid w:val="00194CB4"/>
    <w:rsid w:val="00197FA2"/>
    <w:rsid w:val="001A1A5B"/>
    <w:rsid w:val="001A7E82"/>
    <w:rsid w:val="001B0859"/>
    <w:rsid w:val="001B354B"/>
    <w:rsid w:val="001B440C"/>
    <w:rsid w:val="001B7475"/>
    <w:rsid w:val="001D354B"/>
    <w:rsid w:val="001D4EDF"/>
    <w:rsid w:val="001D6485"/>
    <w:rsid w:val="001E2320"/>
    <w:rsid w:val="001E27D2"/>
    <w:rsid w:val="001E610A"/>
    <w:rsid w:val="001E721F"/>
    <w:rsid w:val="001E7A98"/>
    <w:rsid w:val="00202697"/>
    <w:rsid w:val="00205C55"/>
    <w:rsid w:val="00206C0B"/>
    <w:rsid w:val="00221A2A"/>
    <w:rsid w:val="002270E2"/>
    <w:rsid w:val="00230BB7"/>
    <w:rsid w:val="002373C0"/>
    <w:rsid w:val="0024697E"/>
    <w:rsid w:val="00255E53"/>
    <w:rsid w:val="002670F5"/>
    <w:rsid w:val="00275115"/>
    <w:rsid w:val="00280311"/>
    <w:rsid w:val="00281BE7"/>
    <w:rsid w:val="0028384A"/>
    <w:rsid w:val="00286651"/>
    <w:rsid w:val="00287196"/>
    <w:rsid w:val="0029287B"/>
    <w:rsid w:val="0029403F"/>
    <w:rsid w:val="002955B8"/>
    <w:rsid w:val="00296F44"/>
    <w:rsid w:val="002C0340"/>
    <w:rsid w:val="002C19DE"/>
    <w:rsid w:val="002D5020"/>
    <w:rsid w:val="002D55B8"/>
    <w:rsid w:val="002D6ED9"/>
    <w:rsid w:val="002E46AC"/>
    <w:rsid w:val="002E6BA8"/>
    <w:rsid w:val="002F0FB2"/>
    <w:rsid w:val="002F4311"/>
    <w:rsid w:val="002F61E3"/>
    <w:rsid w:val="00300E94"/>
    <w:rsid w:val="003051DF"/>
    <w:rsid w:val="00305610"/>
    <w:rsid w:val="0031104C"/>
    <w:rsid w:val="003130CA"/>
    <w:rsid w:val="0032369B"/>
    <w:rsid w:val="00326537"/>
    <w:rsid w:val="00330083"/>
    <w:rsid w:val="003357D9"/>
    <w:rsid w:val="00337B00"/>
    <w:rsid w:val="003403BD"/>
    <w:rsid w:val="00350EAD"/>
    <w:rsid w:val="00355899"/>
    <w:rsid w:val="00356E75"/>
    <w:rsid w:val="0035733E"/>
    <w:rsid w:val="00374DBE"/>
    <w:rsid w:val="0037704D"/>
    <w:rsid w:val="0037714E"/>
    <w:rsid w:val="003841AB"/>
    <w:rsid w:val="003905D7"/>
    <w:rsid w:val="003935E8"/>
    <w:rsid w:val="003975D4"/>
    <w:rsid w:val="003A0F16"/>
    <w:rsid w:val="003A5B7D"/>
    <w:rsid w:val="003A6433"/>
    <w:rsid w:val="003B46BF"/>
    <w:rsid w:val="003D2AE2"/>
    <w:rsid w:val="003D71C6"/>
    <w:rsid w:val="003E149B"/>
    <w:rsid w:val="003F072E"/>
    <w:rsid w:val="003F3FAA"/>
    <w:rsid w:val="00402165"/>
    <w:rsid w:val="00404F9B"/>
    <w:rsid w:val="00411C64"/>
    <w:rsid w:val="004156E6"/>
    <w:rsid w:val="00415707"/>
    <w:rsid w:val="00416F70"/>
    <w:rsid w:val="0041703B"/>
    <w:rsid w:val="004226E8"/>
    <w:rsid w:val="00424198"/>
    <w:rsid w:val="004403B4"/>
    <w:rsid w:val="00446466"/>
    <w:rsid w:val="00447CE9"/>
    <w:rsid w:val="00453B55"/>
    <w:rsid w:val="0045613D"/>
    <w:rsid w:val="00457779"/>
    <w:rsid w:val="00466FE8"/>
    <w:rsid w:val="0047197E"/>
    <w:rsid w:val="004744CD"/>
    <w:rsid w:val="0047483C"/>
    <w:rsid w:val="0048011A"/>
    <w:rsid w:val="004850DC"/>
    <w:rsid w:val="00490715"/>
    <w:rsid w:val="00491267"/>
    <w:rsid w:val="00491300"/>
    <w:rsid w:val="00492285"/>
    <w:rsid w:val="004A2F20"/>
    <w:rsid w:val="004A2F45"/>
    <w:rsid w:val="004A5135"/>
    <w:rsid w:val="004B2F38"/>
    <w:rsid w:val="004C35E7"/>
    <w:rsid w:val="004D093B"/>
    <w:rsid w:val="004D2191"/>
    <w:rsid w:val="004D7DDC"/>
    <w:rsid w:val="004E2587"/>
    <w:rsid w:val="004E4723"/>
    <w:rsid w:val="004F08AD"/>
    <w:rsid w:val="004F3FEF"/>
    <w:rsid w:val="004F7A4E"/>
    <w:rsid w:val="0050014B"/>
    <w:rsid w:val="00501687"/>
    <w:rsid w:val="00504D78"/>
    <w:rsid w:val="005058F2"/>
    <w:rsid w:val="00512C38"/>
    <w:rsid w:val="00512C7C"/>
    <w:rsid w:val="005130EF"/>
    <w:rsid w:val="005143E4"/>
    <w:rsid w:val="00516499"/>
    <w:rsid w:val="005224DB"/>
    <w:rsid w:val="0054388D"/>
    <w:rsid w:val="0055182D"/>
    <w:rsid w:val="00553AE5"/>
    <w:rsid w:val="005558C1"/>
    <w:rsid w:val="00567252"/>
    <w:rsid w:val="0056748F"/>
    <w:rsid w:val="0057280A"/>
    <w:rsid w:val="00574D83"/>
    <w:rsid w:val="00584C82"/>
    <w:rsid w:val="005871C9"/>
    <w:rsid w:val="005B06B3"/>
    <w:rsid w:val="005B598A"/>
    <w:rsid w:val="005C1959"/>
    <w:rsid w:val="005C38AF"/>
    <w:rsid w:val="005C499F"/>
    <w:rsid w:val="005C608D"/>
    <w:rsid w:val="005C6551"/>
    <w:rsid w:val="005D269A"/>
    <w:rsid w:val="005D3140"/>
    <w:rsid w:val="005D5D31"/>
    <w:rsid w:val="005E4CF5"/>
    <w:rsid w:val="005E7898"/>
    <w:rsid w:val="005F550D"/>
    <w:rsid w:val="005F70FE"/>
    <w:rsid w:val="006008CD"/>
    <w:rsid w:val="0061137F"/>
    <w:rsid w:val="006120D3"/>
    <w:rsid w:val="006159D3"/>
    <w:rsid w:val="00633806"/>
    <w:rsid w:val="00633883"/>
    <w:rsid w:val="00634434"/>
    <w:rsid w:val="0064109C"/>
    <w:rsid w:val="0064487F"/>
    <w:rsid w:val="00644E28"/>
    <w:rsid w:val="00645CA2"/>
    <w:rsid w:val="006648F3"/>
    <w:rsid w:val="00670C14"/>
    <w:rsid w:val="0067351A"/>
    <w:rsid w:val="0068046C"/>
    <w:rsid w:val="00680B0E"/>
    <w:rsid w:val="006858B7"/>
    <w:rsid w:val="00686511"/>
    <w:rsid w:val="00687B5F"/>
    <w:rsid w:val="00687E5A"/>
    <w:rsid w:val="006905E7"/>
    <w:rsid w:val="006967BC"/>
    <w:rsid w:val="006A03EB"/>
    <w:rsid w:val="006A533F"/>
    <w:rsid w:val="006A7DCE"/>
    <w:rsid w:val="006B1374"/>
    <w:rsid w:val="006C1B62"/>
    <w:rsid w:val="006C452F"/>
    <w:rsid w:val="006C4ED5"/>
    <w:rsid w:val="006D079B"/>
    <w:rsid w:val="006D183E"/>
    <w:rsid w:val="006D336E"/>
    <w:rsid w:val="006D6B78"/>
    <w:rsid w:val="006D7964"/>
    <w:rsid w:val="006E4E37"/>
    <w:rsid w:val="006F498A"/>
    <w:rsid w:val="006F5BEB"/>
    <w:rsid w:val="006F74F8"/>
    <w:rsid w:val="0070349C"/>
    <w:rsid w:val="007041E9"/>
    <w:rsid w:val="007135A8"/>
    <w:rsid w:val="00713671"/>
    <w:rsid w:val="007156F6"/>
    <w:rsid w:val="00715B91"/>
    <w:rsid w:val="0072422A"/>
    <w:rsid w:val="007321D8"/>
    <w:rsid w:val="00733AF9"/>
    <w:rsid w:val="00734732"/>
    <w:rsid w:val="00740ABA"/>
    <w:rsid w:val="00741E62"/>
    <w:rsid w:val="0074295D"/>
    <w:rsid w:val="00744FFB"/>
    <w:rsid w:val="00755E27"/>
    <w:rsid w:val="0078723A"/>
    <w:rsid w:val="007A4FB5"/>
    <w:rsid w:val="007B043E"/>
    <w:rsid w:val="007C4332"/>
    <w:rsid w:val="007C4C95"/>
    <w:rsid w:val="007D0493"/>
    <w:rsid w:val="007D1551"/>
    <w:rsid w:val="007D273D"/>
    <w:rsid w:val="007D6A3A"/>
    <w:rsid w:val="007D6B6F"/>
    <w:rsid w:val="007D74E2"/>
    <w:rsid w:val="007E6DAB"/>
    <w:rsid w:val="007F016E"/>
    <w:rsid w:val="008008F6"/>
    <w:rsid w:val="008017A7"/>
    <w:rsid w:val="00823875"/>
    <w:rsid w:val="00827817"/>
    <w:rsid w:val="00827986"/>
    <w:rsid w:val="008279BD"/>
    <w:rsid w:val="008378F3"/>
    <w:rsid w:val="0084154E"/>
    <w:rsid w:val="00843352"/>
    <w:rsid w:val="00844624"/>
    <w:rsid w:val="008462C0"/>
    <w:rsid w:val="00855871"/>
    <w:rsid w:val="0087118E"/>
    <w:rsid w:val="008771C8"/>
    <w:rsid w:val="00882DCA"/>
    <w:rsid w:val="0088727A"/>
    <w:rsid w:val="00891D0D"/>
    <w:rsid w:val="00896D35"/>
    <w:rsid w:val="008B00C4"/>
    <w:rsid w:val="008B089D"/>
    <w:rsid w:val="008B43B0"/>
    <w:rsid w:val="008B6E5C"/>
    <w:rsid w:val="008C0493"/>
    <w:rsid w:val="008C0E92"/>
    <w:rsid w:val="008D45C3"/>
    <w:rsid w:val="008E18D7"/>
    <w:rsid w:val="008E33C7"/>
    <w:rsid w:val="008F1D35"/>
    <w:rsid w:val="008F7384"/>
    <w:rsid w:val="009066C7"/>
    <w:rsid w:val="0092216D"/>
    <w:rsid w:val="00933339"/>
    <w:rsid w:val="009509F5"/>
    <w:rsid w:val="00953B84"/>
    <w:rsid w:val="00961330"/>
    <w:rsid w:val="00982754"/>
    <w:rsid w:val="00984226"/>
    <w:rsid w:val="009943F4"/>
    <w:rsid w:val="00995FDD"/>
    <w:rsid w:val="00996389"/>
    <w:rsid w:val="009A2234"/>
    <w:rsid w:val="009A6D46"/>
    <w:rsid w:val="009B2F99"/>
    <w:rsid w:val="009B7A4D"/>
    <w:rsid w:val="009C573D"/>
    <w:rsid w:val="009C593F"/>
    <w:rsid w:val="009D10B8"/>
    <w:rsid w:val="009D185F"/>
    <w:rsid w:val="009D43CC"/>
    <w:rsid w:val="009E2331"/>
    <w:rsid w:val="009F1AF3"/>
    <w:rsid w:val="009F413F"/>
    <w:rsid w:val="009F550A"/>
    <w:rsid w:val="009F7497"/>
    <w:rsid w:val="00A01F60"/>
    <w:rsid w:val="00A02CE9"/>
    <w:rsid w:val="00A04BCC"/>
    <w:rsid w:val="00A053B9"/>
    <w:rsid w:val="00A1146C"/>
    <w:rsid w:val="00A118F0"/>
    <w:rsid w:val="00A159DA"/>
    <w:rsid w:val="00A20F7F"/>
    <w:rsid w:val="00A22494"/>
    <w:rsid w:val="00A22A7B"/>
    <w:rsid w:val="00A22EE5"/>
    <w:rsid w:val="00A242D8"/>
    <w:rsid w:val="00A43354"/>
    <w:rsid w:val="00A434EB"/>
    <w:rsid w:val="00A510E6"/>
    <w:rsid w:val="00A5351C"/>
    <w:rsid w:val="00A54C06"/>
    <w:rsid w:val="00A633F0"/>
    <w:rsid w:val="00A6481E"/>
    <w:rsid w:val="00A66140"/>
    <w:rsid w:val="00A66626"/>
    <w:rsid w:val="00A7064A"/>
    <w:rsid w:val="00A7345A"/>
    <w:rsid w:val="00A75027"/>
    <w:rsid w:val="00A90397"/>
    <w:rsid w:val="00A90CB0"/>
    <w:rsid w:val="00A9374D"/>
    <w:rsid w:val="00A94461"/>
    <w:rsid w:val="00A960EA"/>
    <w:rsid w:val="00AA2A36"/>
    <w:rsid w:val="00AA2E63"/>
    <w:rsid w:val="00AA4608"/>
    <w:rsid w:val="00AA6179"/>
    <w:rsid w:val="00AB1235"/>
    <w:rsid w:val="00AB2D5E"/>
    <w:rsid w:val="00AB3591"/>
    <w:rsid w:val="00AC0511"/>
    <w:rsid w:val="00AD08C5"/>
    <w:rsid w:val="00AE069A"/>
    <w:rsid w:val="00AE497D"/>
    <w:rsid w:val="00AE6352"/>
    <w:rsid w:val="00AE72D5"/>
    <w:rsid w:val="00AF1EBC"/>
    <w:rsid w:val="00B03985"/>
    <w:rsid w:val="00B1467F"/>
    <w:rsid w:val="00B16509"/>
    <w:rsid w:val="00B265ED"/>
    <w:rsid w:val="00B31928"/>
    <w:rsid w:val="00B326A9"/>
    <w:rsid w:val="00B36EE4"/>
    <w:rsid w:val="00B45ED3"/>
    <w:rsid w:val="00B543E9"/>
    <w:rsid w:val="00B57127"/>
    <w:rsid w:val="00B62557"/>
    <w:rsid w:val="00B76B2B"/>
    <w:rsid w:val="00B8251D"/>
    <w:rsid w:val="00B900B2"/>
    <w:rsid w:val="00B94288"/>
    <w:rsid w:val="00B9538B"/>
    <w:rsid w:val="00B966A6"/>
    <w:rsid w:val="00BA03C4"/>
    <w:rsid w:val="00BA15A9"/>
    <w:rsid w:val="00BB30C0"/>
    <w:rsid w:val="00BB4696"/>
    <w:rsid w:val="00BC376D"/>
    <w:rsid w:val="00BC433B"/>
    <w:rsid w:val="00BC667A"/>
    <w:rsid w:val="00BD18E8"/>
    <w:rsid w:val="00BD20BC"/>
    <w:rsid w:val="00BE0486"/>
    <w:rsid w:val="00BF013B"/>
    <w:rsid w:val="00C0285F"/>
    <w:rsid w:val="00C15673"/>
    <w:rsid w:val="00C15E6F"/>
    <w:rsid w:val="00C210A9"/>
    <w:rsid w:val="00C22821"/>
    <w:rsid w:val="00C243BF"/>
    <w:rsid w:val="00C25F63"/>
    <w:rsid w:val="00C273C0"/>
    <w:rsid w:val="00C276AE"/>
    <w:rsid w:val="00C34F0F"/>
    <w:rsid w:val="00C36F4C"/>
    <w:rsid w:val="00C4237C"/>
    <w:rsid w:val="00C4376C"/>
    <w:rsid w:val="00C55C85"/>
    <w:rsid w:val="00C60868"/>
    <w:rsid w:val="00C6097A"/>
    <w:rsid w:val="00C64DAA"/>
    <w:rsid w:val="00C65204"/>
    <w:rsid w:val="00C70530"/>
    <w:rsid w:val="00C77217"/>
    <w:rsid w:val="00C816A5"/>
    <w:rsid w:val="00C83BE1"/>
    <w:rsid w:val="00C97315"/>
    <w:rsid w:val="00CA1AD2"/>
    <w:rsid w:val="00CA2878"/>
    <w:rsid w:val="00CA7D06"/>
    <w:rsid w:val="00CB1DE1"/>
    <w:rsid w:val="00CB2E2B"/>
    <w:rsid w:val="00CB3D33"/>
    <w:rsid w:val="00CC0463"/>
    <w:rsid w:val="00CC7F58"/>
    <w:rsid w:val="00CD47C3"/>
    <w:rsid w:val="00CE099F"/>
    <w:rsid w:val="00CE73E2"/>
    <w:rsid w:val="00CF402D"/>
    <w:rsid w:val="00CF5E4F"/>
    <w:rsid w:val="00CF7674"/>
    <w:rsid w:val="00D156FA"/>
    <w:rsid w:val="00D17D3E"/>
    <w:rsid w:val="00D240D1"/>
    <w:rsid w:val="00D3459A"/>
    <w:rsid w:val="00D346CD"/>
    <w:rsid w:val="00D4388C"/>
    <w:rsid w:val="00D44A5D"/>
    <w:rsid w:val="00D46C79"/>
    <w:rsid w:val="00D46DBA"/>
    <w:rsid w:val="00D510E8"/>
    <w:rsid w:val="00D554A2"/>
    <w:rsid w:val="00D5628B"/>
    <w:rsid w:val="00D571E2"/>
    <w:rsid w:val="00D63F4F"/>
    <w:rsid w:val="00D6426A"/>
    <w:rsid w:val="00D66456"/>
    <w:rsid w:val="00D75B0A"/>
    <w:rsid w:val="00D77CD0"/>
    <w:rsid w:val="00D9306F"/>
    <w:rsid w:val="00DB0B88"/>
    <w:rsid w:val="00DB68D3"/>
    <w:rsid w:val="00DC6168"/>
    <w:rsid w:val="00DD18C6"/>
    <w:rsid w:val="00DD6D00"/>
    <w:rsid w:val="00DE00F0"/>
    <w:rsid w:val="00DE1894"/>
    <w:rsid w:val="00DE5079"/>
    <w:rsid w:val="00DF2079"/>
    <w:rsid w:val="00DF6B3A"/>
    <w:rsid w:val="00E0315B"/>
    <w:rsid w:val="00E10271"/>
    <w:rsid w:val="00E34DF7"/>
    <w:rsid w:val="00E351BA"/>
    <w:rsid w:val="00E35DF6"/>
    <w:rsid w:val="00E50D44"/>
    <w:rsid w:val="00E52765"/>
    <w:rsid w:val="00E64133"/>
    <w:rsid w:val="00E6583C"/>
    <w:rsid w:val="00E66456"/>
    <w:rsid w:val="00E738D5"/>
    <w:rsid w:val="00E8288D"/>
    <w:rsid w:val="00E8348C"/>
    <w:rsid w:val="00E900DE"/>
    <w:rsid w:val="00E91E64"/>
    <w:rsid w:val="00EA2DBB"/>
    <w:rsid w:val="00EA326D"/>
    <w:rsid w:val="00EB1B3E"/>
    <w:rsid w:val="00EB5A68"/>
    <w:rsid w:val="00EB77EA"/>
    <w:rsid w:val="00EC0C4F"/>
    <w:rsid w:val="00EC2941"/>
    <w:rsid w:val="00EC2B8F"/>
    <w:rsid w:val="00EC74BA"/>
    <w:rsid w:val="00ED15F0"/>
    <w:rsid w:val="00EE4384"/>
    <w:rsid w:val="00EE4BD7"/>
    <w:rsid w:val="00EE73A4"/>
    <w:rsid w:val="00EF3551"/>
    <w:rsid w:val="00F017D6"/>
    <w:rsid w:val="00F12CF6"/>
    <w:rsid w:val="00F147FC"/>
    <w:rsid w:val="00F15BD4"/>
    <w:rsid w:val="00F25384"/>
    <w:rsid w:val="00F31A79"/>
    <w:rsid w:val="00F34611"/>
    <w:rsid w:val="00F42214"/>
    <w:rsid w:val="00F5061B"/>
    <w:rsid w:val="00F61A7D"/>
    <w:rsid w:val="00F63AA8"/>
    <w:rsid w:val="00F67CA2"/>
    <w:rsid w:val="00F7172F"/>
    <w:rsid w:val="00F72521"/>
    <w:rsid w:val="00F81D5E"/>
    <w:rsid w:val="00F859A8"/>
    <w:rsid w:val="00F9203E"/>
    <w:rsid w:val="00F957B7"/>
    <w:rsid w:val="00FA0EA2"/>
    <w:rsid w:val="00FA53DF"/>
    <w:rsid w:val="00FB2364"/>
    <w:rsid w:val="00FB30AC"/>
    <w:rsid w:val="00FB3B6F"/>
    <w:rsid w:val="00FC712D"/>
    <w:rsid w:val="00FD39E3"/>
    <w:rsid w:val="00FD48BC"/>
    <w:rsid w:val="00FE1242"/>
    <w:rsid w:val="00FE34E5"/>
    <w:rsid w:val="00FE6EDA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1808D"/>
  <w15:docId w15:val="{9907FBD6-CEC2-42E2-A88E-10EDFCF3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46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8C0E9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0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E92"/>
  </w:style>
  <w:style w:type="paragraph" w:styleId="Stopka">
    <w:name w:val="footer"/>
    <w:basedOn w:val="Normalny"/>
    <w:link w:val="StopkaZnak"/>
    <w:uiPriority w:val="99"/>
    <w:unhideWhenUsed/>
    <w:rsid w:val="008C0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E92"/>
  </w:style>
  <w:style w:type="paragraph" w:customStyle="1" w:styleId="Style2">
    <w:name w:val="Style2"/>
    <w:basedOn w:val="Normalny"/>
    <w:uiPriority w:val="99"/>
    <w:rsid w:val="00230BB7"/>
    <w:pPr>
      <w:widowControl w:val="0"/>
      <w:suppressAutoHyphens w:val="0"/>
      <w:autoSpaceDE w:val="0"/>
      <w:adjustRightInd w:val="0"/>
      <w:spacing w:after="0" w:line="331" w:lineRule="exact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30BB7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230BB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6C1B6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Theme="minorEastAsia" w:hAnsi="Times New Roman"/>
      <w:sz w:val="24"/>
      <w:szCs w:val="24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E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E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E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E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E9F"/>
    <w:rPr>
      <w:b/>
      <w:bCs/>
      <w:sz w:val="20"/>
      <w:szCs w:val="20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qFormat/>
    <w:rsid w:val="001933DE"/>
  </w:style>
  <w:style w:type="paragraph" w:customStyle="1" w:styleId="pismamz">
    <w:name w:val="pisma_mz"/>
    <w:basedOn w:val="Normalny"/>
    <w:link w:val="pismamzZnak"/>
    <w:qFormat/>
    <w:rsid w:val="00E351BA"/>
    <w:pPr>
      <w:suppressAutoHyphens w:val="0"/>
      <w:autoSpaceDN/>
      <w:spacing w:after="0" w:line="360" w:lineRule="auto"/>
      <w:contextualSpacing/>
      <w:jc w:val="both"/>
      <w:textAlignment w:val="auto"/>
    </w:pPr>
    <w:rPr>
      <w:rFonts w:ascii="Arial" w:hAnsi="Arial"/>
    </w:rPr>
  </w:style>
  <w:style w:type="character" w:customStyle="1" w:styleId="pismamzZnak">
    <w:name w:val="pisma_mz Znak"/>
    <w:link w:val="pismamz"/>
    <w:rsid w:val="00E351BA"/>
    <w:rPr>
      <w:rFonts w:ascii="Arial" w:hAnsi="Arial"/>
    </w:rPr>
  </w:style>
  <w:style w:type="character" w:styleId="Pogrubienie">
    <w:name w:val="Strong"/>
    <w:basedOn w:val="Domylnaczcionkaakapitu"/>
    <w:uiPriority w:val="22"/>
    <w:qFormat/>
    <w:rsid w:val="00AB3591"/>
    <w:rPr>
      <w:b/>
      <w:bCs/>
    </w:rPr>
  </w:style>
  <w:style w:type="character" w:customStyle="1" w:styleId="cf01">
    <w:name w:val="cf01"/>
    <w:basedOn w:val="Domylnaczcionkaakapitu"/>
    <w:rsid w:val="00D46DB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46DBA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39"/>
    <w:rsid w:val="00143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304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5380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125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8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252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35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089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2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481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25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5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61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6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33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9125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194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1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082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universe\wric$\09_Pracownicy\1_39_Wilk_J\Nowe%20obj&#281;cia\pazdziernik%202024%20Wykresy%20od%20201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universe\wric$\09_Pracownicy\1_39_Wilk_J\Nowe%20obj&#281;cia\pazdziernik%202024%20Wykresy%20od%202012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universe\wric$\09_Pracownicy\1_39_Wilk_J\Nowe%20obj&#281;cia\pazdziernik%202024%20Wykresy%20wskazania%20od%202012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universe\wric$\09_Pracownicy\1_39_Wilk_J\Nowe%20obj&#281;cia\pazdziernik%202024%20Wykresy%20wskazania%20od%202012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r>
              <a:rPr lang="pl-PL" sz="800" b="1" i="0" baseline="0">
                <a:solidFill>
                  <a:sysClr val="windowText" lastClr="000000"/>
                </a:solidFill>
                <a:effectLst/>
                <a:latin typeface="Lato" panose="020F0502020204030203" pitchFamily="34" charset="-18"/>
              </a:rPr>
              <a:t>Liczba nowych cząsteczko-wskazań w 2024 r. - ONKO/NIEONKO</a:t>
            </a:r>
            <a:endParaRPr lang="pl-PL" sz="800">
              <a:solidFill>
                <a:sysClr val="windowText" lastClr="000000"/>
              </a:solidFill>
              <a:effectLst/>
              <a:latin typeface="Lato" panose="020F0502020204030203" pitchFamily="34" charset="-18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baseline="0">
              <a:solidFill>
                <a:sysClr val="windowText" lastClr="000000"/>
              </a:solidFill>
              <a:latin typeface="Lato" panose="020F0502020204030203" pitchFamily="34" charset="-18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7.7692038495188118E-2"/>
          <c:y val="0.13625000000000001"/>
          <c:w val="0.90286351706036749"/>
          <c:h val="0.6780595765564775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'miesiące 2024'!$A$3</c:f>
              <c:strCache>
                <c:ptCount val="1"/>
                <c:pt idx="0">
                  <c:v>Wskazania onkologiczne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'miesiące 2024'!$B$1:$E$2</c:f>
              <c:strCache>
                <c:ptCount val="4"/>
                <c:pt idx="0">
                  <c:v>styczeń</c:v>
                </c:pt>
                <c:pt idx="1">
                  <c:v>kwiecień</c:v>
                </c:pt>
                <c:pt idx="2">
                  <c:v>lipiec</c:v>
                </c:pt>
                <c:pt idx="3">
                  <c:v>październik</c:v>
                </c:pt>
              </c:strCache>
            </c:strRef>
          </c:cat>
          <c:val>
            <c:numRef>
              <c:f>'miesiące 2024'!$B$3:$E$3</c:f>
              <c:numCache>
                <c:formatCode>General</c:formatCode>
                <c:ptCount val="4"/>
                <c:pt idx="0">
                  <c:v>8</c:v>
                </c:pt>
                <c:pt idx="1">
                  <c:v>7</c:v>
                </c:pt>
                <c:pt idx="2">
                  <c:v>8</c:v>
                </c:pt>
                <c:pt idx="3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E4-47E2-B76D-1AC3E98410E3}"/>
            </c:ext>
          </c:extLst>
        </c:ser>
        <c:ser>
          <c:idx val="1"/>
          <c:order val="1"/>
          <c:tx>
            <c:strRef>
              <c:f>'miesiące 2024'!$A$4</c:f>
              <c:strCache>
                <c:ptCount val="1"/>
                <c:pt idx="0">
                  <c:v>Wskazania nieonkologiczne</c:v>
                </c:pt>
              </c:strCache>
            </c:strRef>
          </c:tx>
          <c:spPr>
            <a:solidFill>
              <a:srgbClr val="4F93D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'miesiące 2024'!$B$1:$E$2</c:f>
              <c:strCache>
                <c:ptCount val="4"/>
                <c:pt idx="0">
                  <c:v>styczeń</c:v>
                </c:pt>
                <c:pt idx="1">
                  <c:v>kwiecień</c:v>
                </c:pt>
                <c:pt idx="2">
                  <c:v>lipiec</c:v>
                </c:pt>
                <c:pt idx="3">
                  <c:v>październik</c:v>
                </c:pt>
              </c:strCache>
            </c:strRef>
          </c:cat>
          <c:val>
            <c:numRef>
              <c:f>'miesiące 2024'!$B$4:$E$4</c:f>
              <c:numCache>
                <c:formatCode>General</c:formatCode>
                <c:ptCount val="4"/>
                <c:pt idx="0">
                  <c:v>11</c:v>
                </c:pt>
                <c:pt idx="1">
                  <c:v>26</c:v>
                </c:pt>
                <c:pt idx="2">
                  <c:v>23</c:v>
                </c:pt>
                <c:pt idx="3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E4-47E2-B76D-1AC3E98410E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703835919"/>
        <c:axId val="703834671"/>
      </c:barChart>
      <c:catAx>
        <c:axId val="7038359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703834671"/>
        <c:crosses val="autoZero"/>
        <c:auto val="1"/>
        <c:lblAlgn val="ctr"/>
        <c:lblOffset val="100"/>
        <c:noMultiLvlLbl val="0"/>
      </c:catAx>
      <c:valAx>
        <c:axId val="70383467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70383591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Lato" panose="020F0502020204030203" pitchFamily="34" charset="-18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r>
              <a:rPr lang="pl-PL" sz="800" b="1" i="0" baseline="0">
                <a:solidFill>
                  <a:sysClr val="windowText" lastClr="000000"/>
                </a:solidFill>
                <a:effectLst/>
                <a:latin typeface="Lato" panose="020F0502020204030203" pitchFamily="34" charset="-18"/>
              </a:rPr>
              <a:t>Liczba nowych cząsteczko-wskazań w 2024 r. - choroby rzadkie</a:t>
            </a:r>
            <a:endParaRPr lang="pl-PL" sz="800">
              <a:solidFill>
                <a:sysClr val="windowText" lastClr="000000"/>
              </a:solidFill>
              <a:effectLst/>
              <a:latin typeface="Lato" panose="020F0502020204030203" pitchFamily="34" charset="-18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baseline="0">
              <a:solidFill>
                <a:sysClr val="windowText" lastClr="000000"/>
              </a:solidFill>
              <a:latin typeface="Lato" panose="020F0502020204030203" pitchFamily="34" charset="-18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7.7692038495188118E-2"/>
          <c:y val="0.13625000000000001"/>
          <c:w val="0.90286351706036749"/>
          <c:h val="0.678294299750992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'miesiące 2024'!$A$18</c:f>
              <c:strCache>
                <c:ptCount val="1"/>
                <c:pt idx="0">
                  <c:v>Wskazania rzadkie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'miesiące 2024'!$B$16:$E$17</c:f>
              <c:strCache>
                <c:ptCount val="4"/>
                <c:pt idx="0">
                  <c:v>styczeń</c:v>
                </c:pt>
                <c:pt idx="1">
                  <c:v>kwiecień</c:v>
                </c:pt>
                <c:pt idx="2">
                  <c:v>lipiec</c:v>
                </c:pt>
                <c:pt idx="3">
                  <c:v>październik</c:v>
                </c:pt>
              </c:strCache>
            </c:strRef>
          </c:cat>
          <c:val>
            <c:numRef>
              <c:f>'miesiące 2024'!$B$18:$E$18</c:f>
              <c:numCache>
                <c:formatCode>General</c:formatCode>
                <c:ptCount val="4"/>
                <c:pt idx="0">
                  <c:v>10</c:v>
                </c:pt>
                <c:pt idx="1">
                  <c:v>8</c:v>
                </c:pt>
                <c:pt idx="2">
                  <c:v>6</c:v>
                </c:pt>
                <c:pt idx="3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3D-4A46-84D5-87CA005C5B3D}"/>
            </c:ext>
          </c:extLst>
        </c:ser>
        <c:ser>
          <c:idx val="1"/>
          <c:order val="1"/>
          <c:tx>
            <c:strRef>
              <c:f>'miesiące 2024'!$A$19</c:f>
              <c:strCache>
                <c:ptCount val="1"/>
                <c:pt idx="0">
                  <c:v>Pozostałe</c:v>
                </c:pt>
              </c:strCache>
            </c:strRef>
          </c:tx>
          <c:spPr>
            <a:solidFill>
              <a:srgbClr val="4F93D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Lato" panose="020F0502020204030203" pitchFamily="34" charset="-18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'miesiące 2024'!$B$16:$E$17</c:f>
              <c:strCache>
                <c:ptCount val="4"/>
                <c:pt idx="0">
                  <c:v>styczeń</c:v>
                </c:pt>
                <c:pt idx="1">
                  <c:v>kwiecień</c:v>
                </c:pt>
                <c:pt idx="2">
                  <c:v>lipiec</c:v>
                </c:pt>
                <c:pt idx="3">
                  <c:v>październik</c:v>
                </c:pt>
              </c:strCache>
            </c:strRef>
          </c:cat>
          <c:val>
            <c:numRef>
              <c:f>'miesiące 2024'!$B$19:$E$19</c:f>
              <c:numCache>
                <c:formatCode>General</c:formatCode>
                <c:ptCount val="4"/>
                <c:pt idx="0">
                  <c:v>9</c:v>
                </c:pt>
                <c:pt idx="1">
                  <c:v>25</c:v>
                </c:pt>
                <c:pt idx="2">
                  <c:v>25</c:v>
                </c:pt>
                <c:pt idx="3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23D-4A46-84D5-87CA005C5B3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703835919"/>
        <c:axId val="703834671"/>
      </c:barChart>
      <c:catAx>
        <c:axId val="7038359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703834671"/>
        <c:crosses val="autoZero"/>
        <c:auto val="1"/>
        <c:lblAlgn val="ctr"/>
        <c:lblOffset val="100"/>
        <c:noMultiLvlLbl val="0"/>
      </c:catAx>
      <c:valAx>
        <c:axId val="70383467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70383591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Lato" panose="020F0502020204030203" pitchFamily="34" charset="-18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900" b="1" i="0" u="none" strike="noStrike" kern="1200" spc="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r>
              <a:rPr lang="pl-PL" sz="900" b="1">
                <a:solidFill>
                  <a:sysClr val="windowText" lastClr="000000"/>
                </a:solidFill>
                <a:latin typeface="Lato" panose="020F0502020204030203" pitchFamily="34" charset="-18"/>
              </a:rPr>
              <a:t>Cząsteczko-wskazania onkologiczne w 2024 r. </a:t>
            </a:r>
          </a:p>
        </c:rich>
      </c:tx>
      <c:layout>
        <c:manualLayout>
          <c:xMode val="edge"/>
          <c:yMode val="edge"/>
          <c:x val="0.25009163725224004"/>
          <c:y val="8.627492991947434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900" b="1" i="0" u="none" strike="noStrike" kern="1200" spc="0" baseline="0">
              <a:solidFill>
                <a:sysClr val="windowText" lastClr="000000"/>
              </a:solidFill>
              <a:latin typeface="Lato" panose="020F0502020204030203" pitchFamily="34" charset="-18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3582997522272922"/>
          <c:y val="9.3021586587390862E-2"/>
          <c:w val="0.84009663854336591"/>
          <c:h val="0.83798132376310108"/>
        </c:manualLayout>
      </c:layout>
      <c:barChart>
        <c:barDir val="bar"/>
        <c:grouping val="clustered"/>
        <c:varyColors val="0"/>
        <c:ser>
          <c:idx val="10"/>
          <c:order val="0"/>
          <c:tx>
            <c:strRef>
              <c:f>'miesiące 2024'!$B$2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4F93D1"/>
            </a:solidFill>
            <a:ln>
              <a:noFill/>
            </a:ln>
            <a:effectLst/>
          </c:spPr>
          <c:invertIfNegative val="0"/>
          <c:cat>
            <c:strRef>
              <c:f>('miesiące 2024'!$A$3:$A$7,'miesiące 2024'!$A$10:$A$12)</c:f>
              <c:strCache>
                <c:ptCount val="8"/>
                <c:pt idx="0">
                  <c:v>Inne</c:v>
                </c:pt>
                <c:pt idx="1">
                  <c:v>Nowotwory układu 
urologicznego</c:v>
                </c:pt>
                <c:pt idx="2">
                  <c:v>Nowotwory skóry</c:v>
                </c:pt>
                <c:pt idx="3">
                  <c:v>Nowotwory układu 
pokarmowego</c:v>
                </c:pt>
                <c:pt idx="4">
                  <c:v>Nowotwory układu 
oddechowego</c:v>
                </c:pt>
                <c:pt idx="5">
                  <c:v>Nowotwory 
ginekologiczne</c:v>
                </c:pt>
                <c:pt idx="6">
                  <c:v>Nowotwory układu 
endokrynnego</c:v>
                </c:pt>
                <c:pt idx="7">
                  <c:v>Hematoonkologia</c:v>
                </c:pt>
              </c:strCache>
              <c:extLst/>
            </c:strRef>
          </c:cat>
          <c:val>
            <c:numRef>
              <c:f>('miesiące 2024'!$B$3:$B$7,'miesiące 2024'!$B$10:$B$12)</c:f>
              <c:numCache>
                <c:formatCode>General</c:formatCode>
                <c:ptCount val="8"/>
                <c:pt idx="0">
                  <c:v>2</c:v>
                </c:pt>
                <c:pt idx="1">
                  <c:v>5</c:v>
                </c:pt>
                <c:pt idx="2">
                  <c:v>3</c:v>
                </c:pt>
                <c:pt idx="3">
                  <c:v>3</c:v>
                </c:pt>
                <c:pt idx="4">
                  <c:v>1</c:v>
                </c:pt>
                <c:pt idx="5">
                  <c:v>6</c:v>
                </c:pt>
                <c:pt idx="6">
                  <c:v>1</c:v>
                </c:pt>
                <c:pt idx="7">
                  <c:v>15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958C-4AFD-9A01-246FC97477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1046271"/>
        <c:axId val="751054175"/>
      </c:barChart>
      <c:valAx>
        <c:axId val="75105417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751046271"/>
        <c:crosses val="autoZero"/>
        <c:crossBetween val="between"/>
        <c:majorUnit val="2"/>
      </c:valAx>
      <c:catAx>
        <c:axId val="751046271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751054175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1" i="0" u="none" strike="noStrike" kern="1200" spc="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r>
              <a:rPr lang="pl-PL" sz="900" b="1">
                <a:latin typeface="Lato" panose="020F0502020204030203" pitchFamily="34" charset="-18"/>
              </a:rPr>
              <a:t>Cząsteczko-wskazania nieonkologiczne w 2024 r.  </a:t>
            </a:r>
          </a:p>
        </c:rich>
      </c:tx>
      <c:layout>
        <c:manualLayout>
          <c:xMode val="edge"/>
          <c:yMode val="edge"/>
          <c:x val="0.2061082795512284"/>
          <c:y val="7.5615548056492937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spc="0" baseline="0">
              <a:solidFill>
                <a:sysClr val="windowText" lastClr="000000"/>
              </a:solidFill>
              <a:latin typeface="Lato" panose="020F0502020204030203" pitchFamily="34" charset="-18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20948966438366801"/>
          <c:y val="9.2192761619083324E-2"/>
          <c:w val="0.76644349190079053"/>
          <c:h val="0.833155141321620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'miesiące 2024'!$B$19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4F93D1"/>
            </a:solidFill>
            <a:ln>
              <a:noFill/>
            </a:ln>
            <a:effectLst/>
          </c:spPr>
          <c:invertIfNegative val="0"/>
          <c:cat>
            <c:strRef>
              <c:f>'miesiące 2024'!$A$20:$A$38</c:f>
              <c:strCache>
                <c:ptCount val="19"/>
                <c:pt idx="0">
                  <c:v>Urologia</c:v>
                </c:pt>
                <c:pt idx="1">
                  <c:v>Reumatologia</c:v>
                </c:pt>
                <c:pt idx="2">
                  <c:v>Pulmonologia</c:v>
                </c:pt>
                <c:pt idx="3">
                  <c:v>Psychiatria</c:v>
                </c:pt>
                <c:pt idx="4">
                  <c:v>Okulistyka</c:v>
                </c:pt>
                <c:pt idx="5">
                  <c:v>Neurologia</c:v>
                </c:pt>
                <c:pt idx="6">
                  <c:v>Nefrologia </c:v>
                </c:pt>
                <c:pt idx="7">
                  <c:v>Kardiologia</c:v>
                </c:pt>
                <c:pt idx="8">
                  <c:v>Immunologia</c:v>
                </c:pt>
                <c:pt idx="9">
                  <c:v>Hepatologia</c:v>
                </c:pt>
                <c:pt idx="10">
                  <c:v>Hematologia</c:v>
                </c:pt>
                <c:pt idx="11">
                  <c:v>Ginekologia</c:v>
                </c:pt>
                <c:pt idx="12">
                  <c:v>Gastroenterologia</c:v>
                </c:pt>
                <c:pt idx="13">
                  <c:v>Endokrynologia</c:v>
                </c:pt>
                <c:pt idx="14">
                  <c:v>Diabetologia</c:v>
                </c:pt>
                <c:pt idx="15">
                  <c:v>Dermatologia</c:v>
                </c:pt>
                <c:pt idx="16">
                  <c:v>Choroby metaboliczne</c:v>
                </c:pt>
                <c:pt idx="17">
                  <c:v>Angiologia</c:v>
                </c:pt>
                <c:pt idx="18">
                  <c:v>Alergologia</c:v>
                </c:pt>
              </c:strCache>
            </c:strRef>
          </c:cat>
          <c:val>
            <c:numRef>
              <c:f>'miesiące 2024'!$B$20:$B$38</c:f>
              <c:numCache>
                <c:formatCode>General</c:formatCode>
                <c:ptCount val="19"/>
                <c:pt idx="0">
                  <c:v>1</c:v>
                </c:pt>
                <c:pt idx="1">
                  <c:v>8</c:v>
                </c:pt>
                <c:pt idx="2">
                  <c:v>2</c:v>
                </c:pt>
                <c:pt idx="3">
                  <c:v>19</c:v>
                </c:pt>
                <c:pt idx="4">
                  <c:v>2</c:v>
                </c:pt>
                <c:pt idx="5">
                  <c:v>17</c:v>
                </c:pt>
                <c:pt idx="6">
                  <c:v>6</c:v>
                </c:pt>
                <c:pt idx="7">
                  <c:v>7</c:v>
                </c:pt>
                <c:pt idx="8">
                  <c:v>3</c:v>
                </c:pt>
                <c:pt idx="9">
                  <c:v>1</c:v>
                </c:pt>
                <c:pt idx="10">
                  <c:v>4</c:v>
                </c:pt>
                <c:pt idx="11">
                  <c:v>11</c:v>
                </c:pt>
                <c:pt idx="12">
                  <c:v>2</c:v>
                </c:pt>
                <c:pt idx="13">
                  <c:v>1</c:v>
                </c:pt>
                <c:pt idx="14">
                  <c:v>8</c:v>
                </c:pt>
                <c:pt idx="15">
                  <c:v>1</c:v>
                </c:pt>
                <c:pt idx="16">
                  <c:v>3</c:v>
                </c:pt>
                <c:pt idx="17">
                  <c:v>1</c:v>
                </c:pt>
                <c:pt idx="18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46-4117-AF2B-DC7BA0BD9C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1296495"/>
        <c:axId val="241294831"/>
      </c:barChart>
      <c:valAx>
        <c:axId val="24129483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241296495"/>
        <c:crosses val="autoZero"/>
        <c:crossBetween val="between"/>
        <c:majorUnit val="2"/>
      </c:valAx>
      <c:catAx>
        <c:axId val="24129649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ysClr val="windowText" lastClr="000000"/>
                </a:solidFill>
                <a:latin typeface="Lato" panose="020F0502020204030203" pitchFamily="34" charset="-18"/>
                <a:ea typeface="+mn-ea"/>
                <a:cs typeface="+mn-cs"/>
              </a:defRPr>
            </a:pPr>
            <a:endParaRPr lang="pl-PL"/>
          </a:p>
        </c:txPr>
        <c:crossAx val="241294831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3878</Words>
  <Characters>23270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Oczkowski Mateusz</dc:creator>
  <dc:description/>
  <cp:lastModifiedBy>Tobiaszewski Paweł</cp:lastModifiedBy>
  <cp:revision>8</cp:revision>
  <dcterms:created xsi:type="dcterms:W3CDTF">2024-09-12T09:48:00Z</dcterms:created>
  <dcterms:modified xsi:type="dcterms:W3CDTF">2024-09-13T11:33:00Z</dcterms:modified>
</cp:coreProperties>
</file>